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GoBack"/>
            <w:bookmarkEnd w:id="0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516D8EB" w:rsidR="00A156C3" w:rsidRPr="00A156C3" w:rsidRDefault="005C5DE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Amazing Race 2019 in Collaboration with MSA and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Singsoc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03B1078" w:rsidR="00A156C3" w:rsidRPr="00A156C3" w:rsidRDefault="005C5DE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22/09/2019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3AED274" w:rsidR="00A156C3" w:rsidRPr="00A156C3" w:rsidRDefault="005C5DE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Singapore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08EB1CC" w:rsidR="00A156C3" w:rsidRPr="000947E4" w:rsidRDefault="000947E4" w:rsidP="000947E4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947E4">
              <w:rPr>
                <w:rFonts w:ascii="Verdana" w:eastAsia="Times New Roman" w:hAnsi="Verdana" w:cs="Times New Roman"/>
                <w:b/>
                <w:lang w:eastAsia="en-GB"/>
              </w:rPr>
              <w:t>Warren Song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05780760" w:rsidR="00EB5320" w:rsidRPr="005C5DE6" w:rsidRDefault="003855D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60266CF7" w:rsidR="00EB5320" w:rsidRPr="000947E4" w:rsidRDefault="000947E4" w:rsidP="000947E4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Warren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50"/>
        <w:gridCol w:w="2736"/>
        <w:gridCol w:w="1951"/>
        <w:gridCol w:w="479"/>
        <w:gridCol w:w="479"/>
        <w:gridCol w:w="479"/>
        <w:gridCol w:w="3050"/>
        <w:gridCol w:w="479"/>
        <w:gridCol w:w="479"/>
        <w:gridCol w:w="479"/>
        <w:gridCol w:w="302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0AE59005" w:rsidR="00CE1AAA" w:rsidRDefault="005C5DE6">
            <w:r>
              <w:t>F</w:t>
            </w:r>
            <w:r w:rsidR="003855D1">
              <w:t>alling over while running, competing in the amazing race</w:t>
            </w:r>
            <w:r w:rsidR="000947E4">
              <w:t>; injuring oneself while playing the games involved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B46EBA8" w:rsidR="00CE1AAA" w:rsidRDefault="003855D1">
            <w:r>
              <w:t>Superficial Injuries,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157BA500" w:rsidR="00CE1AAA" w:rsidRDefault="003855D1">
            <w:r>
              <w:t>The participants themselves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375A8BF" w:rsidR="00CE1AAA" w:rsidRPr="00957A37" w:rsidRDefault="003855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3D786A0" w:rsidR="00CE1AAA" w:rsidRPr="00957A37" w:rsidRDefault="003855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4E54566E" w:rsidR="00CE1AAA" w:rsidRPr="00957A37" w:rsidRDefault="003855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2C48EDC3" w14:textId="77777777" w:rsidR="00CE1AAA" w:rsidRPr="00A57A77" w:rsidRDefault="003855D1">
            <w:r w:rsidRPr="00A57A77">
              <w:t>We have group leaders that will make sure that the participants in the group would care for their own safety</w:t>
            </w:r>
          </w:p>
          <w:p w14:paraId="2D168656" w14:textId="77777777" w:rsidR="003855D1" w:rsidRPr="00A57A77" w:rsidRDefault="003855D1">
            <w:r w:rsidRPr="00A57A77">
              <w:t>Before the event, we will have a general briefing on safety</w:t>
            </w:r>
          </w:p>
          <w:p w14:paraId="3C5F0432" w14:textId="4C7D7C67" w:rsidR="003855D1" w:rsidRPr="003855D1" w:rsidRDefault="003855D1">
            <w:pPr>
              <w:rPr>
                <w:rFonts w:ascii="Lucida Sans" w:hAnsi="Lucida Sans"/>
                <w:bCs/>
              </w:rPr>
            </w:pPr>
            <w:r w:rsidRPr="00A57A77">
              <w:t>First aid kit and ice will be on hand, in the event of any injury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B16845C" w:rsidR="00CE1AAA" w:rsidRPr="00957A37" w:rsidRDefault="003855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20BEA8D" w:rsidR="00CE1AAA" w:rsidRPr="00957A37" w:rsidRDefault="003855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1E31E41D" w:rsidR="00CE1AAA" w:rsidRPr="00957A37" w:rsidRDefault="003855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260EEDD" w:rsidR="00CE1AAA" w:rsidRDefault="003855D1">
            <w:r>
              <w:t xml:space="preserve">The presence of admin and physical controls will keep risks to a minimum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2BB84E48" w:rsidR="00C642F4" w:rsidRPr="00957A37" w:rsidRDefault="003855D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16672232" w:rsidR="00C642F4" w:rsidRPr="00957A37" w:rsidRDefault="003855D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Amazing Race briefing to event helpers</w:t>
            </w:r>
          </w:p>
        </w:tc>
        <w:tc>
          <w:tcPr>
            <w:tcW w:w="602" w:type="pct"/>
          </w:tcPr>
          <w:p w14:paraId="3C5F048F" w14:textId="61CB0E56" w:rsidR="00C642F4" w:rsidRPr="00957A37" w:rsidRDefault="000947E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of Society</w:t>
            </w:r>
          </w:p>
        </w:tc>
        <w:tc>
          <w:tcPr>
            <w:tcW w:w="319" w:type="pct"/>
            <w:gridSpan w:val="2"/>
          </w:tcPr>
          <w:p w14:paraId="3C5F0490" w14:textId="08A252E4" w:rsidR="00C642F4" w:rsidRPr="00957A37" w:rsidRDefault="000947E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D4CDCB4" w:rsidR="00C642F4" w:rsidRPr="00957A37" w:rsidRDefault="000947E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29/09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314C7359" w:rsidR="00C642F4" w:rsidRPr="00957A37" w:rsidRDefault="000947E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243F60D5" w:rsidR="00C642F4" w:rsidRPr="00957A37" w:rsidRDefault="000947E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Briefing to Participants with emphasis on emergency </w:t>
            </w:r>
            <w:r w:rsidR="00D92859">
              <w:rPr>
                <w:rFonts w:ascii="Lucida Sans" w:eastAsia="Times New Roman" w:hAnsi="Lucida Sans" w:cs="Arial"/>
                <w:color w:val="000000"/>
                <w:szCs w:val="20"/>
              </w:rPr>
              <w:t>measures</w:t>
            </w:r>
          </w:p>
        </w:tc>
        <w:tc>
          <w:tcPr>
            <w:tcW w:w="602" w:type="pct"/>
          </w:tcPr>
          <w:p w14:paraId="3C5F0496" w14:textId="1A484E1C" w:rsidR="00C642F4" w:rsidRPr="00957A37" w:rsidRDefault="000947E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Event Organiser and Group Leaders</w:t>
            </w:r>
          </w:p>
        </w:tc>
        <w:tc>
          <w:tcPr>
            <w:tcW w:w="319" w:type="pct"/>
            <w:gridSpan w:val="2"/>
          </w:tcPr>
          <w:p w14:paraId="3C5F0497" w14:textId="1EB99A34" w:rsidR="00C642F4" w:rsidRPr="00957A37" w:rsidRDefault="000947E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29/09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61799069" w:rsidR="00C642F4" w:rsidRPr="00957A37" w:rsidRDefault="000947E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29/09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2328DEA5" w:rsidR="00C642F4" w:rsidRPr="00957A37" w:rsidRDefault="000947E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6E59521" w:rsidR="00C642F4" w:rsidRPr="00957A37" w:rsidRDefault="000947E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First aid Kit and Ice</w:t>
            </w:r>
          </w:p>
        </w:tc>
        <w:tc>
          <w:tcPr>
            <w:tcW w:w="602" w:type="pct"/>
          </w:tcPr>
          <w:p w14:paraId="3C5F049D" w14:textId="4D6058DB" w:rsidR="00C642F4" w:rsidRPr="00957A37" w:rsidRDefault="000947E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of Singapore Society</w:t>
            </w:r>
          </w:p>
        </w:tc>
        <w:tc>
          <w:tcPr>
            <w:tcW w:w="319" w:type="pct"/>
            <w:gridSpan w:val="2"/>
          </w:tcPr>
          <w:p w14:paraId="3C5F049E" w14:textId="5D84802F" w:rsidR="00C642F4" w:rsidRPr="00957A37" w:rsidRDefault="000947E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1436BFCE" w:rsidR="00C642F4" w:rsidRPr="00957A37" w:rsidRDefault="000947E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29/09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04F600F" w:rsidR="00C642F4" w:rsidRPr="000947E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0947E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  <w:r w:rsidR="000947E4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warren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13701E2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0947E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Warren Song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479237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0947E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22/09/2019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1762" w14:textId="77777777" w:rsidR="00622122" w:rsidRDefault="00622122" w:rsidP="00AC47B4">
      <w:pPr>
        <w:spacing w:after="0" w:line="240" w:lineRule="auto"/>
      </w:pPr>
      <w:r>
        <w:separator/>
      </w:r>
    </w:p>
  </w:endnote>
  <w:endnote w:type="continuationSeparator" w:id="0">
    <w:p w14:paraId="27D0B3D2" w14:textId="77777777" w:rsidR="00622122" w:rsidRDefault="0062212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06F1" w14:textId="77777777" w:rsidR="00622122" w:rsidRDefault="00622122" w:rsidP="00AC47B4">
      <w:pPr>
        <w:spacing w:after="0" w:line="240" w:lineRule="auto"/>
      </w:pPr>
      <w:r>
        <w:separator/>
      </w:r>
    </w:p>
  </w:footnote>
  <w:footnote w:type="continuationSeparator" w:id="0">
    <w:p w14:paraId="49C2D444" w14:textId="77777777" w:rsidR="00622122" w:rsidRDefault="0062212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7E4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55D1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C5DE6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2122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A77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2859"/>
    <w:rsid w:val="00D93156"/>
    <w:rsid w:val="00D967F0"/>
    <w:rsid w:val="00DA3F26"/>
    <w:rsid w:val="00DA7205"/>
    <w:rsid w:val="00DA7273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26685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0790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D9BE36-EFD5-4A7F-ABBF-124DABCF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song w. (ws2u18)</cp:lastModifiedBy>
  <cp:revision>2</cp:revision>
  <cp:lastPrinted>2016-04-18T12:10:00Z</cp:lastPrinted>
  <dcterms:created xsi:type="dcterms:W3CDTF">2019-09-24T15:47:00Z</dcterms:created>
  <dcterms:modified xsi:type="dcterms:W3CDTF">2019-09-24T15:47:00Z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