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14:paraId="0C2170CB" w14:textId="77777777" w:rsidTr="66E4E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66FF0C25" w14:textId="238C4854" w:rsidR="007D5F9D" w:rsidRPr="003A79FE" w:rsidRDefault="66E4EEDE" w:rsidP="00A26B8F">
            <w:pPr>
              <w:rPr>
                <w:sz w:val="32"/>
                <w:szCs w:val="32"/>
              </w:rPr>
            </w:pPr>
            <w:r w:rsidRPr="66E4EEDE">
              <w:rPr>
                <w:sz w:val="32"/>
                <w:szCs w:val="32"/>
              </w:rPr>
              <w:t>Work/Activity: Mind Society Bake Sale</w:t>
            </w:r>
          </w:p>
        </w:tc>
      </w:tr>
      <w:tr w:rsidR="00A26B8F" w14:paraId="02E00758" w14:textId="77777777" w:rsidTr="66E4E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16CB15" w14:textId="50DA1373" w:rsidR="00A26B8F" w:rsidRDefault="00A26B8F"/>
          <w:p w14:paraId="138BAB2D" w14:textId="77777777" w:rsidR="00912C05" w:rsidRDefault="00912C05"/>
          <w:p w14:paraId="49C799B9" w14:textId="7A316480" w:rsidR="00912C05" w:rsidRDefault="66E4EEDE">
            <w:r>
              <w:t xml:space="preserve">Mind Society will be organising a bake sale to raise funds for the local mental health charity, Solent Mind. It will be held on the Red Brick </w:t>
            </w:r>
            <w:r w:rsidR="00C6670F">
              <w:t>area on Friday 17</w:t>
            </w:r>
            <w:r w:rsidRPr="66E4EEDE">
              <w:rPr>
                <w:vertAlign w:val="superscript"/>
              </w:rPr>
              <w:t>th</w:t>
            </w:r>
            <w:r w:rsidR="00C6670F">
              <w:t xml:space="preserve"> November from 11am – 4</w:t>
            </w:r>
            <w:r>
              <w:t xml:space="preserve">pm. The stall with have 3-4 people selling cakes on it at one time. Prices for the cakes will range from 50p-£1 and the money will only be handled by members of the student group. </w:t>
            </w:r>
          </w:p>
          <w:p w14:paraId="2D6AF7CB" w14:textId="77777777" w:rsidR="00912C05" w:rsidRDefault="00912C05"/>
          <w:p w14:paraId="79F554F8" w14:textId="77777777" w:rsidR="00912C05" w:rsidRDefault="00912C05"/>
          <w:p w14:paraId="38C4E7A5" w14:textId="77777777" w:rsidR="00912C05" w:rsidRDefault="00912C05"/>
        </w:tc>
      </w:tr>
      <w:tr w:rsidR="007D5F9D" w14:paraId="41FD0E04" w14:textId="77777777" w:rsidTr="66E4EEDE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2274A9D" w14:textId="334F8EF3" w:rsidR="007D5F9D" w:rsidRPr="00EB0C98" w:rsidRDefault="66E4EEDE" w:rsidP="003A79FE">
            <w:pPr>
              <w:rPr>
                <w:b w:val="0"/>
                <w:color w:val="FFFFFF" w:themeColor="background1"/>
              </w:rPr>
            </w:pPr>
            <w:r w:rsidRPr="66E4EEDE">
              <w:rPr>
                <w:b w:val="0"/>
                <w:bCs w:val="0"/>
                <w:color w:val="FFFFFF" w:themeColor="background1"/>
              </w:rPr>
              <w:t>Group: Mind Society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3BD29DCC" w14:textId="2ED8FA3C" w:rsidR="007D5F9D" w:rsidRPr="00EB0C98" w:rsidRDefault="66E4E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66E4EEDE">
              <w:rPr>
                <w:color w:val="FFFFFF" w:themeColor="background1"/>
              </w:rPr>
              <w:t xml:space="preserve">Assessor(s): </w:t>
            </w:r>
            <w:r w:rsidR="00C6670F">
              <w:rPr>
                <w:color w:val="FFFFFF" w:themeColor="background1"/>
              </w:rPr>
              <w:t>Rebecca Maunder</w:t>
            </w:r>
          </w:p>
        </w:tc>
        <w:tc>
          <w:tcPr>
            <w:tcW w:w="3696" w:type="dxa"/>
            <w:shd w:val="clear" w:color="auto" w:fill="4F81BD" w:themeFill="accent1"/>
          </w:tcPr>
          <w:p w14:paraId="5DE9B716" w14:textId="771A4BBE" w:rsidR="007D5F9D" w:rsidRPr="00EB0C98" w:rsidRDefault="00C66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Contact: rm7g</w:t>
            </w:r>
            <w:r w:rsidR="66E4EEDE" w:rsidRPr="66E4EEDE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5</w:t>
            </w:r>
            <w:r w:rsidR="66E4EEDE" w:rsidRPr="66E4EEDE">
              <w:rPr>
                <w:color w:val="FFFFFF" w:themeColor="background1"/>
              </w:rPr>
              <w:t>@soton.ac.uk</w:t>
            </w:r>
          </w:p>
        </w:tc>
      </w:tr>
      <w:tr w:rsidR="00A26B8F" w14:paraId="2787B009" w14:textId="77777777" w:rsidTr="66E4E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4045869A" w14:textId="77777777"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6EBA667" w14:textId="77777777"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0E357115" w14:textId="77777777" w:rsidTr="66E4EEDE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5CB8ABF9" w14:textId="502EE411" w:rsidR="007D5F9D" w:rsidRPr="003A2F8A" w:rsidRDefault="66E4EEDE" w:rsidP="66E4EEDE">
            <w:r>
              <w:t>We will be following the standards set by the Level 2 Food Safety and Hygiene Certificate.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F344C5B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14:paraId="5F75CFE6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D5F9D" w14:paraId="1FFFCD70" w14:textId="77777777" w:rsidTr="66E4E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497B26" w14:textId="77777777"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0B654F03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26B0C0" w14:textId="005FE31C" w:rsidR="007D5F9D" w:rsidRDefault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 Gardner</w:t>
            </w:r>
            <w:r w:rsidR="66E4EEDE">
              <w:t xml:space="preserve"> </w:t>
            </w:r>
            <w:r w:rsidR="002A1A2E">
              <w:t xml:space="preserve">(promotional officer) </w:t>
            </w:r>
            <w:r w:rsidR="66E4EEDE">
              <w:t xml:space="preserve">– Health and Safety </w:t>
            </w:r>
          </w:p>
          <w:p w14:paraId="728E52C7" w14:textId="77777777" w:rsidR="002A1A2E" w:rsidRDefault="002A1A2E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DDE4EC" w14:textId="497DE03D" w:rsidR="00C6670F" w:rsidRPr="002A1A2E" w:rsidRDefault="00C6670F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 xml:space="preserve">Kiana Mostaghimi </w:t>
            </w:r>
          </w:p>
          <w:p w14:paraId="2DA42B0B" w14:textId="77777777" w:rsidR="00C6670F" w:rsidRPr="002A1A2E" w:rsidRDefault="00C6670F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 xml:space="preserve">Layla Lydia Ha </w:t>
            </w:r>
          </w:p>
          <w:p w14:paraId="3562C43E" w14:textId="3F53EB73" w:rsidR="00C6670F" w:rsidRPr="002A1A2E" w:rsidRDefault="00C6670F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Rebecca Maunder</w:t>
            </w:r>
          </w:p>
          <w:p w14:paraId="290F4C87" w14:textId="77777777" w:rsidR="00C6670F" w:rsidRPr="002A1A2E" w:rsidRDefault="00C6670F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Izzy Foster</w:t>
            </w:r>
          </w:p>
          <w:p w14:paraId="4AF78DE4" w14:textId="77777777" w:rsidR="00C6670F" w:rsidRPr="002A1A2E" w:rsidRDefault="00C6670F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Lucy Clowes</w:t>
            </w:r>
          </w:p>
          <w:p w14:paraId="17188657" w14:textId="160B3C2C" w:rsidR="66E4EEDE" w:rsidRPr="002A1A2E" w:rsidRDefault="00C6670F" w:rsidP="00C6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Hannah Englishby-Smith</w:t>
            </w:r>
          </w:p>
          <w:p w14:paraId="759C3E00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C487B3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284114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6DD5F5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EC923" w14:textId="3E3EFC7E" w:rsidR="007D5F9D" w:rsidRDefault="66E4E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2 Food Safety and Hygiene Certificate</w:t>
            </w:r>
          </w:p>
          <w:p w14:paraId="2A43B81C" w14:textId="77777777" w:rsid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56E3AB" w14:textId="5128EE1D" w:rsidR="002A1A2E" w:rsidRP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A1A2E">
              <w:t>President</w:t>
            </w:r>
          </w:p>
          <w:p w14:paraId="6669234F" w14:textId="77777777" w:rsidR="002A1A2E" w:rsidRP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A1A2E">
              <w:t>Vice President</w:t>
            </w:r>
          </w:p>
          <w:p w14:paraId="4682326B" w14:textId="09BE6EFF" w:rsidR="002A1A2E" w:rsidRP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Secretary</w:t>
            </w:r>
          </w:p>
          <w:p w14:paraId="0BD5128F" w14:textId="77777777" w:rsidR="002A1A2E" w:rsidRP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Treasurer</w:t>
            </w:r>
          </w:p>
          <w:p w14:paraId="0835A9B5" w14:textId="77777777" w:rsidR="002A1A2E" w:rsidRP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Social Secretary</w:t>
            </w:r>
          </w:p>
          <w:p w14:paraId="6D75B201" w14:textId="0DBC293F" w:rsidR="007D5F9D" w:rsidRPr="002A1A2E" w:rsidRDefault="002A1A2E" w:rsidP="002A1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A2E">
              <w:t>Social Secretary</w:t>
            </w:r>
          </w:p>
          <w:p w14:paraId="2F088889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AA4C68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6E6CBF" w14:textId="77777777" w:rsidR="007D5F9D" w:rsidRDefault="007D5F9D" w:rsidP="0002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14:paraId="560C9F55" w14:textId="77777777" w:rsidTr="66E4EEDE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12E052E2" w14:textId="77777777" w:rsidR="007D5F9D" w:rsidRPr="00C96EAA" w:rsidRDefault="00F252B6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14:paraId="56D27311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14:paraId="7308A318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14:paraId="2C56A578" w14:textId="77777777" w:rsidTr="66E4E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F1802D" w14:textId="37CC7708" w:rsidR="007D5F9D" w:rsidRDefault="66E4EEDE">
            <w:r>
              <w:t xml:space="preserve">Fire Risk Assessments will be covered by the premises operator. 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52C1077D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8A02FF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1"/>
        <w:gridCol w:w="1812"/>
        <w:gridCol w:w="1393"/>
        <w:gridCol w:w="2928"/>
        <w:gridCol w:w="1113"/>
        <w:gridCol w:w="3626"/>
        <w:gridCol w:w="1013"/>
        <w:gridCol w:w="1639"/>
        <w:gridCol w:w="840"/>
      </w:tblGrid>
      <w:tr w:rsidR="00EB0C98" w:rsidRPr="008419EF" w14:paraId="637BFE90" w14:textId="77777777" w:rsidTr="66E4EEDE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0D638A02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64F78954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441AAE7F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4734A2B9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324B8397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0A46602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53ABBAF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vAlign w:val="center"/>
            <w:hideMark/>
          </w:tcPr>
          <w:p w14:paraId="70A0FB2E" w14:textId="77777777"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738BDDBC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4E2"/>
            <w:noWrap/>
            <w:vAlign w:val="center"/>
            <w:hideMark/>
          </w:tcPr>
          <w:p w14:paraId="727E1E92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EB0C98" w:rsidRPr="008419EF" w14:paraId="2205A8C8" w14:textId="77777777" w:rsidTr="66E4EEDE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438" w14:textId="420EA9AB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Preparing food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141D" w14:textId="7124E085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Food not prepared properly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AF2" w14:textId="4EE3705B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Customers may become ill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416" w14:textId="35949B20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</w:t>
            </w:r>
            <w:r w:rsidRPr="00861212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9BC" w14:textId="3D1E2D10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650" w14:textId="75C6F135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  <w:r w:rsidR="00861212"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Jess Gardner</w:t>
            </w: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, who is the holder of the Food Safety and Hygiene certificate will be present at the sale.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988" w14:textId="7B9437B1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 All who are </w:t>
            </w:r>
            <w:proofErr w:type="spellStart"/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preparingfood</w:t>
            </w:r>
            <w:proofErr w:type="spellEnd"/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7D7" w14:textId="6C161312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DF2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3A11FE07" w14:textId="77777777" w:rsidTr="66E4EEDE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91B" w14:textId="7474F157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Selling the cakes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DDE" w14:textId="52FEA83C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Overcrowding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4AC" w14:textId="14BD004E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Customers and the society may experience slips, trips and falls which may lead to cuts and bruises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5DF" w14:textId="2F31E313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 We will ask all customers to form an orderly queue so this minimises risk.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DDE" w14:textId="787B103D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917" w14:textId="633EEEAD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 We will ask one of the society members to be responsible for ensuring people are stood in an orderly queue.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949" w14:textId="48C38654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Those running the cake sale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2CCD" w14:textId="6F822543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7F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5657FAF9" w14:textId="77777777" w:rsidTr="66E4EEDE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785" w14:textId="7F1C585C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Selling the cakes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DC0" w14:textId="237A55A0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Content of the cakes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F70" w14:textId="4900A2DF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Customers may have an allergic reaction due to the ingredients in the cake.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3C7" w14:textId="79C49CE7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</w:t>
            </w:r>
            <w:r w:rsidRPr="00861212">
              <w:rPr>
                <w:rFonts w:eastAsia="Calibri" w:cs="Calibri"/>
              </w:rPr>
              <w:t xml:space="preserve">Anyone who wishes to purchase a cake will be notified of the ingredients used, and will be asked if they have any allergies.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1A2" w14:textId="44FDB60F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F69" w14:textId="63DF61D3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</w:t>
            </w:r>
            <w:r w:rsidRPr="00861212">
              <w:rPr>
                <w:rFonts w:eastAsia="Calibri" w:cs="Calibri"/>
              </w:rPr>
              <w:t xml:space="preserve">Signs will be put up saying </w:t>
            </w:r>
            <w:r w:rsidR="00921FC8">
              <w:rPr>
                <w:rFonts w:eastAsia="Calibri" w:cs="Calibri"/>
              </w:rPr>
              <w:t>they can’t</w:t>
            </w:r>
            <w:bookmarkStart w:id="0" w:name="_GoBack"/>
            <w:bookmarkEnd w:id="0"/>
            <w:r w:rsidRPr="00861212">
              <w:rPr>
                <w:rFonts w:eastAsia="Calibri" w:cs="Calibri"/>
              </w:rPr>
              <w:t xml:space="preserve"> guarantee the food will not contain nuts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4FA" w14:textId="31C306D6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Those running the cake sale.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D7D" w14:textId="642DEAC2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75C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10030E27" w14:textId="77777777" w:rsidTr="66E4EEDE">
        <w:trPr>
          <w:trHeight w:val="55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6D2" w14:textId="6DC2708E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lastRenderedPageBreak/>
              <w:t> The cakes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FC2" w14:textId="26F05B2F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Food storage and handling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9F6" w14:textId="569F2CAC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The cakes may not be handled hygienically on the day of the cake sale.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4CC" w14:textId="18DFF801" w:rsidR="00EB0C98" w:rsidRPr="00861212" w:rsidRDefault="66E4EEDE" w:rsidP="00EB0C98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People who are preparing and selling the cakes will not be suffering from any illnesses.</w:t>
            </w:r>
          </w:p>
          <w:p w14:paraId="70F46F17" w14:textId="4C7ACCDD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16F00AF2" w14:textId="4396EB54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The cakes will be kept in clean, fully sealed containers. </w:t>
            </w:r>
          </w:p>
          <w:p w14:paraId="265B62AD" w14:textId="41140A33" w:rsidR="00EB0C98" w:rsidRPr="00861212" w:rsidRDefault="00EB0C98" w:rsidP="66E4EEDE">
            <w:pPr>
              <w:spacing w:after="0" w:line="240" w:lineRule="auto"/>
            </w:pPr>
          </w:p>
          <w:p w14:paraId="7BA4A39F" w14:textId="2695478F" w:rsidR="00EB0C98" w:rsidRPr="00861212" w:rsidRDefault="66E4EEDE" w:rsidP="66E4EED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Cakes containing buttercream will be out of the fridge for as short a time as possible.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887" w14:textId="50818803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B37" w14:textId="39DB6A98" w:rsidR="00EB0C98" w:rsidRPr="00861212" w:rsidRDefault="66E4EEDE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 We will ask the society members to avoid handling cakes where possible.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7EF" w14:textId="12FD8EC1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Those running the cake sale.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EFB" w14:textId="105DBBDF" w:rsidR="00EB0C98" w:rsidRPr="00861212" w:rsidRDefault="66E4EEDE" w:rsidP="66E4EEDE">
            <w:pPr>
              <w:spacing w:after="0" w:line="240" w:lineRule="auto"/>
            </w:pPr>
            <w:r w:rsidRPr="00861212">
              <w:rPr>
                <w:rFonts w:eastAsia="Calibri,Times New Roman" w:cs="Calibri,Times New Roman"/>
                <w:color w:val="000000" w:themeColor="text1"/>
                <w:lang w:eastAsia="en-GB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C95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3B1E1F27" w14:textId="77777777" w:rsidTr="66E4EEDE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6A4" w14:textId="3A642A8E" w:rsidR="00EB0C98" w:rsidRPr="00861212" w:rsidRDefault="00EB0C98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 </w:t>
            </w:r>
            <w:r w:rsidR="00797829" w:rsidRPr="00861212">
              <w:rPr>
                <w:rFonts w:eastAsia="Times New Roman" w:cs="Times New Roman"/>
                <w:color w:val="000000"/>
                <w:lang w:eastAsia="en-GB"/>
              </w:rPr>
              <w:t>Money handling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FA6" w14:textId="47E7053A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 xml:space="preserve">The money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50C" w14:textId="71F5AA3A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Money may be covered in bacteria which may lead to illness.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089" w14:textId="4E5EB015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People who will be handling the money will not be touching the cakes.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0E6" w14:textId="12582604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B76" w14:textId="0B3C6343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All cake sellers will be fully briefed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9D2" w14:textId="7C9AF022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 xml:space="preserve">Those running the cake sale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CDA" w14:textId="65F385BF" w:rsidR="00EB0C98" w:rsidRPr="00861212" w:rsidRDefault="00797829" w:rsidP="00EB0C98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61212"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5B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61212" w:rsidRPr="008419EF" w14:paraId="406E0714" w14:textId="77777777" w:rsidTr="006E5927">
        <w:trPr>
          <w:trHeight w:val="5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E1B2" w14:textId="5F32C007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>Collecting Money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CE61" w14:textId="5C045685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Theft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B5C4" w14:textId="734B7EC6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Organisers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2399" w14:textId="12BCBBA8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Donations will be collected on the night in a sealed container and brought to the activities office to bank in Union Building 42, Level 2 – Sabbatical Office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6142" w14:textId="2A408A4D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F677" w14:textId="5A930ADF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Collection buckets will be not left unattended at </w:t>
            </w:r>
            <w:proofErr w:type="spellStart"/>
            <w:r w:rsidRPr="002B4795">
              <w:t>anytime</w:t>
            </w:r>
            <w:proofErr w:type="spellEnd"/>
            <w:r w:rsidRPr="002B4795"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D4AD" w14:textId="7C087DEE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All representatives of the club/society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872B" w14:textId="206D6236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8273" w14:textId="47616401" w:rsidR="00861212" w:rsidRPr="008419EF" w:rsidRDefault="00861212" w:rsidP="0086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4795">
              <w:t xml:space="preserve"> </w:t>
            </w:r>
          </w:p>
        </w:tc>
      </w:tr>
      <w:tr w:rsidR="00EB0C98" w:rsidRPr="008419EF" w14:paraId="33E17A52" w14:textId="77777777" w:rsidTr="66E4EEDE">
        <w:trPr>
          <w:trHeight w:val="5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15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4C0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20D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DFC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734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959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B3E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10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DD57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14:paraId="449C5EC2" w14:textId="77777777" w:rsidTr="66E4EEDE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F5B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6D8A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EA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B48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C1C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063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DC5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466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AFF" w14:textId="77777777"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449559BD" w14:textId="3FFA4E66" w:rsidR="00A940E3" w:rsidRDefault="00A940E3"/>
    <w:p w14:paraId="009E669E" w14:textId="77777777" w:rsidR="00C6670F" w:rsidRDefault="00C6670F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14:paraId="73291A45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26366374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Reviewed By:</w:t>
            </w:r>
          </w:p>
        </w:tc>
        <w:tc>
          <w:tcPr>
            <w:tcW w:w="7081" w:type="dxa"/>
          </w:tcPr>
          <w:p w14:paraId="7C898591" w14:textId="77777777"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14:paraId="65952B52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82DE9D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2E2BCCD1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B3C89D" w14:textId="77777777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14:paraId="603914B0" w14:textId="77777777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1D94B8C8" w14:textId="77777777" w:rsidR="00EB0C98" w:rsidRDefault="00F108D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Southampton</w:t>
            </w:r>
            <w:r w:rsidR="00EB0C98">
              <w:rPr>
                <w:sz w:val="20"/>
                <w:szCs w:val="20"/>
              </w:rPr>
              <w:t xml:space="preserve"> H&amp;S manager (where applicable):</w:t>
            </w:r>
          </w:p>
        </w:tc>
        <w:tc>
          <w:tcPr>
            <w:tcW w:w="3542" w:type="dxa"/>
          </w:tcPr>
          <w:p w14:paraId="1C2B350F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02177D82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14:paraId="5C487D08" w14:textId="77777777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14:paraId="59A3A71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6CB62" wp14:editId="40E55029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32C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14:paraId="0289744C" w14:textId="77777777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641720C2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0FB67" wp14:editId="2FF97556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806F9" id="Straight Arrow Connector 3" o:spid="_x0000_s1026" type="#_x0000_t32" style="position:absolute;margin-left:74.5pt;margin-top:1.25pt;width:0;height:92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3531804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14:paraId="03D4AA4F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37E1C49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0208665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0C9B0A40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14:paraId="5D9881E8" w14:textId="77777777" w:rsidTr="00EB0C98">
        <w:trPr>
          <w:trHeight w:val="793"/>
        </w:trPr>
        <w:tc>
          <w:tcPr>
            <w:tcW w:w="1912" w:type="dxa"/>
            <w:vMerge/>
          </w:tcPr>
          <w:p w14:paraId="27905A92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7C65183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56C74A03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7C05CA15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14:paraId="6FB51439" w14:textId="77777777" w:rsidTr="00EB0C98">
        <w:trPr>
          <w:trHeight w:val="793"/>
        </w:trPr>
        <w:tc>
          <w:tcPr>
            <w:tcW w:w="1912" w:type="dxa"/>
            <w:vMerge/>
          </w:tcPr>
          <w:p w14:paraId="3CA566F6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2453E58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249E799F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13C05689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624221F4" w14:textId="77777777"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14:paraId="022B4586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BF03F1E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14:paraId="75ADFA4E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441035" w14:textId="77777777"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87358F7" w14:textId="77777777"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14:paraId="7E180DA8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E0D7E9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6DFF09A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14:paraId="2E8EAF97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EF2A90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9537E48" w14:textId="77777777"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14:paraId="4284E140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CB4253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150C671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4F7955B6" w14:textId="77777777"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14:paraId="552296FC" w14:textId="77777777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6064EB59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14:paraId="3260D3E9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BDFD84" w14:textId="77777777"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5EF46A17" w14:textId="77777777"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14:paraId="2D33C666" w14:textId="77777777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8CF36D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68E1005" w14:textId="77777777"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489DE18B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54F92AFF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301320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4BB949A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322602BB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14FEB463" w14:textId="77777777"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2393ADBA" w14:textId="77777777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40D33E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78CBB6F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6E5726F8" w14:textId="77777777" w:rsidR="003B4420" w:rsidRDefault="003B4420">
      <w:pPr>
        <w:rPr>
          <w:sz w:val="20"/>
          <w:szCs w:val="20"/>
        </w:rPr>
      </w:pPr>
    </w:p>
    <w:p w14:paraId="7A065B13" w14:textId="77777777" w:rsidR="003B4420" w:rsidRPr="00A940E3" w:rsidRDefault="003B4420">
      <w:pPr>
        <w:rPr>
          <w:sz w:val="20"/>
          <w:szCs w:val="20"/>
        </w:rPr>
      </w:pPr>
    </w:p>
    <w:p w14:paraId="57786193" w14:textId="77777777" w:rsidR="00A940E3" w:rsidRPr="00A940E3" w:rsidRDefault="00A940E3">
      <w:pPr>
        <w:rPr>
          <w:sz w:val="20"/>
          <w:szCs w:val="20"/>
        </w:rPr>
      </w:pPr>
    </w:p>
    <w:p w14:paraId="0739A9DB" w14:textId="77777777" w:rsidR="00A940E3" w:rsidRPr="00A940E3" w:rsidRDefault="00A940E3">
      <w:pPr>
        <w:rPr>
          <w:sz w:val="20"/>
          <w:szCs w:val="20"/>
        </w:rPr>
      </w:pPr>
    </w:p>
    <w:p w14:paraId="0CDB79FD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5BD3108D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FDC65" w14:textId="77777777" w:rsidR="003056B2" w:rsidRDefault="003056B2" w:rsidP="00A26B8F">
      <w:pPr>
        <w:spacing w:after="0" w:line="240" w:lineRule="auto"/>
      </w:pPr>
      <w:r>
        <w:separator/>
      </w:r>
    </w:p>
  </w:endnote>
  <w:endnote w:type="continuationSeparator" w:id="0">
    <w:p w14:paraId="0D31B954" w14:textId="77777777" w:rsidR="003056B2" w:rsidRDefault="003056B2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FCA382" w14:textId="624923C3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FC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7197298" w14:textId="77777777"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33E9" w14:textId="77777777" w:rsidR="003056B2" w:rsidRDefault="003056B2" w:rsidP="00A26B8F">
      <w:pPr>
        <w:spacing w:after="0" w:line="240" w:lineRule="auto"/>
      </w:pPr>
      <w:r>
        <w:separator/>
      </w:r>
    </w:p>
  </w:footnote>
  <w:footnote w:type="continuationSeparator" w:id="0">
    <w:p w14:paraId="7225210F" w14:textId="77777777" w:rsidR="003056B2" w:rsidRDefault="003056B2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D265" w14:textId="77777777" w:rsidR="00A26B8F" w:rsidRPr="00A26B8F" w:rsidRDefault="00F108D8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78089A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1C5949" wp14:editId="639A14F1">
          <wp:simplePos x="0" y="0"/>
          <wp:positionH relativeFrom="column">
            <wp:posOffset>8010525</wp:posOffset>
          </wp:positionH>
          <wp:positionV relativeFrom="paragraph">
            <wp:posOffset>-144780</wp:posOffset>
          </wp:positionV>
          <wp:extent cx="1283335" cy="1165860"/>
          <wp:effectExtent l="0" t="0" r="0" b="0"/>
          <wp:wrapSquare wrapText="bothSides"/>
          <wp:docPr id="4" name="Picture 4" descr="J:\Operations\Marketing\Design\Union Southampton Brand Assets_\0 Logo\Union Southampton_Logo_Main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perations\Marketing\Design\Union Southampton Brand Assets_\0 Logo\Union Southampton_Logo_Main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26B8F"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 w:rsidR="00A26B8F">
      <w:rPr>
        <w:b/>
        <w:bCs/>
        <w:color w:val="1F497D" w:themeColor="text2"/>
        <w:sz w:val="56"/>
        <w:szCs w:val="56"/>
      </w:rPr>
      <w:tab/>
    </w:r>
  </w:p>
  <w:p w14:paraId="2101D3FF" w14:textId="77777777"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5379B6B8" w14:textId="77777777"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0"/>
    <w:rsid w:val="00184B11"/>
    <w:rsid w:val="00234D6F"/>
    <w:rsid w:val="00266091"/>
    <w:rsid w:val="002A1A2E"/>
    <w:rsid w:val="003056B2"/>
    <w:rsid w:val="00327A42"/>
    <w:rsid w:val="003A2F8A"/>
    <w:rsid w:val="003A79FE"/>
    <w:rsid w:val="003B4420"/>
    <w:rsid w:val="0040478E"/>
    <w:rsid w:val="00486236"/>
    <w:rsid w:val="005769AE"/>
    <w:rsid w:val="005C2074"/>
    <w:rsid w:val="005F124E"/>
    <w:rsid w:val="00631296"/>
    <w:rsid w:val="00766BB2"/>
    <w:rsid w:val="00797829"/>
    <w:rsid w:val="007D5F9D"/>
    <w:rsid w:val="008419EF"/>
    <w:rsid w:val="00861212"/>
    <w:rsid w:val="00884BB0"/>
    <w:rsid w:val="008A475F"/>
    <w:rsid w:val="00912C05"/>
    <w:rsid w:val="00921FC8"/>
    <w:rsid w:val="009D4F36"/>
    <w:rsid w:val="00A26B8F"/>
    <w:rsid w:val="00A940E3"/>
    <w:rsid w:val="00B23B9B"/>
    <w:rsid w:val="00C6670F"/>
    <w:rsid w:val="00C96EAA"/>
    <w:rsid w:val="00D10FD5"/>
    <w:rsid w:val="00E15A2F"/>
    <w:rsid w:val="00EB0C98"/>
    <w:rsid w:val="00F108D8"/>
    <w:rsid w:val="00F252B6"/>
    <w:rsid w:val="00F72915"/>
    <w:rsid w:val="66E4E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23453"/>
  <w15:docId w15:val="{73BFE4D0-FAB1-47F6-BAFB-1F19DCC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9E4C8F"/>
    <w:rsid w:val="00C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Rebecca Maunder</cp:lastModifiedBy>
  <cp:revision>5</cp:revision>
  <dcterms:created xsi:type="dcterms:W3CDTF">2017-10-28T16:31:00Z</dcterms:created>
  <dcterms:modified xsi:type="dcterms:W3CDTF">2017-10-28T16:39:00Z</dcterms:modified>
</cp:coreProperties>
</file>