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00"/>
        <w:jc w:val="center"/>
        <w:rPr>
          <w:rFonts w:ascii="Calibri" w:hAnsi="Calibri" w:cs="Tahoma" w:asciiTheme="minorHAnsi" w:hAnsiTheme="minorHAnsi"/>
          <w:b/>
          <w:b/>
          <w:sz w:val="32"/>
          <w:szCs w:val="28"/>
        </w:rPr>
      </w:pPr>
      <w:r>
        <mc:AlternateContent>
          <mc:Choice Requires="wps">
            <w:drawing>
              <wp:anchor behindDoc="0" distT="0" distB="0" distL="0" distR="0" simplePos="0" locked="0" layoutInCell="1" allowOverlap="1" relativeHeight="13" wp14:anchorId="48FCEF88">
                <wp:simplePos x="0" y="0"/>
                <wp:positionH relativeFrom="rightMargin">
                  <wp:posOffset>673100</wp:posOffset>
                </wp:positionH>
                <wp:positionV relativeFrom="page">
                  <wp:align>top</wp:align>
                </wp:positionV>
                <wp:extent cx="270510" cy="270510"/>
                <wp:effectExtent l="11430" t="9525" r="13970" b="6350"/>
                <wp:wrapNone/>
                <wp:docPr id="1" name="Rectangle 1"/>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53pt;margin-top:0.75pt;width:21.2pt;height:21.2pt;mso-position-horizontal-relative:page;mso-position-vertical:top;mso-position-vertical-relative:page" wp14:anchorId="48FCEF88">
                <w10:wrap type="none"/>
                <v:fill o:detectmouseclick="t" type="solid" color2="black"/>
                <v:stroke color="black" weight="3240" joinstyle="miter" endcap="flat"/>
              </v:rect>
            </w:pict>
          </mc:Fallback>
        </mc:AlternateContent>
      </w:r>
      <w:r>
        <w:rPr>
          <w:rFonts w:cs="Tahoma" w:ascii="Calibri" w:hAnsi="Calibri" w:asciiTheme="minorHAnsi" w:hAnsiTheme="minorHAnsi"/>
          <w:b/>
          <w:sz w:val="32"/>
          <w:szCs w:val="28"/>
        </w:rPr>
        <w:t>University of Southampton Students’ Union</w:t>
      </w:r>
    </w:p>
    <w:p>
      <w:pPr>
        <w:pStyle w:val="Normal"/>
        <w:spacing w:lineRule="auto" w:line="276" w:before="0" w:after="100"/>
        <w:jc w:val="center"/>
        <w:rPr/>
      </w:pPr>
      <w:r>
        <w:rPr>
          <w:rFonts w:cs="Tahoma" w:ascii="Calibri" w:hAnsi="Calibri" w:asciiTheme="minorHAnsi" w:hAnsiTheme="minorHAnsi"/>
          <w:b/>
          <w:sz w:val="32"/>
          <w:szCs w:val="28"/>
        </w:rPr>
        <w:t xml:space="preserve">Constitution of: </w:t>
      </w:r>
      <w:r>
        <w:rPr>
          <w:rFonts w:cs="Tahoma" w:ascii="Calibri" w:hAnsi="Calibri" w:asciiTheme="minorHAnsi" w:hAnsiTheme="minorHAnsi"/>
          <w:b/>
          <w:sz w:val="32"/>
          <w:szCs w:val="28"/>
          <w:highlight w:val="yellow"/>
        </w:rPr>
        <w:t>(</w:t>
      </w:r>
      <w:r>
        <w:rPr>
          <w:rFonts w:cs="Tahoma" w:ascii="Calibri" w:hAnsi="Calibri" w:asciiTheme="minorHAnsi" w:hAnsiTheme="minorHAnsi"/>
          <w:b/>
          <w:sz w:val="32"/>
          <w:szCs w:val="28"/>
          <w:highlight w:val="yellow"/>
        </w:rPr>
        <w:t>Highfield FC</w:t>
      </w:r>
      <w:r>
        <w:rPr>
          <w:rFonts w:cs="Tahoma" w:ascii="Calibri" w:hAnsi="Calibri" w:asciiTheme="minorHAnsi" w:hAnsiTheme="minorHAnsi"/>
          <w:b/>
          <w:sz w:val="32"/>
          <w:szCs w:val="28"/>
          <w:highlight w:val="yellow"/>
        </w:rPr>
        <w:t>)</w:t>
      </w:r>
    </w:p>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mc:AlternateContent>
          <mc:Choice Requires="wps">
            <w:drawing>
              <wp:anchor behindDoc="0" distT="0" distB="0" distL="0" distR="0" simplePos="0" locked="0" layoutInCell="1" allowOverlap="1" relativeHeight="15" wp14:anchorId="41937172">
                <wp:simplePos x="0" y="0"/>
                <wp:positionH relativeFrom="column">
                  <wp:posOffset>-64135</wp:posOffset>
                </wp:positionH>
                <wp:positionV relativeFrom="paragraph">
                  <wp:posOffset>181610</wp:posOffset>
                </wp:positionV>
                <wp:extent cx="6276975" cy="2012315"/>
                <wp:effectExtent l="0" t="0" r="10160" b="26670"/>
                <wp:wrapNone/>
                <wp:docPr id="2" name="Text Box 2"/>
                <a:graphic xmlns:a="http://schemas.openxmlformats.org/drawingml/2006/main">
                  <a:graphicData uri="http://schemas.microsoft.com/office/word/2010/wordprocessingShape">
                    <wps:wsp>
                      <wps:cNvSpPr/>
                      <wps:spPr>
                        <a:xfrm>
                          <a:off x="0" y="0"/>
                          <a:ext cx="6276240" cy="20116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sz w:val="28"/>
                                <w:szCs w:val="28"/>
                              </w:rPr>
                              <w:t>NOTES</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should only need to edit the text </w:t>
                            </w:r>
                            <w:r>
                              <w:rPr>
                                <w:rFonts w:cs="Tahoma" w:ascii="Calibri" w:hAnsi="Calibri" w:asciiTheme="minorHAnsi" w:hAnsiTheme="minorHAnsi"/>
                                <w:sz w:val="22"/>
                                <w:szCs w:val="28"/>
                                <w:highlight w:val="yellow"/>
                              </w:rPr>
                              <w:t>highlighted in yellow</w:t>
                            </w:r>
                            <w:r>
                              <w:rPr>
                                <w:rFonts w:cs="Tahoma" w:ascii="Calibri" w:hAnsi="Calibri" w:asciiTheme="minorHAnsi" w:hAnsiTheme="minorHAnsi"/>
                                <w:sz w:val="22"/>
                                <w:szCs w:val="28"/>
                              </w:rPr>
                              <w:t xml:space="preserve">, including adding or changing the Committee Members as you see fit. </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Your full name will usually start with “University of Southampton …”, so for example “University of Southampton Football Club”.</w:t>
                            </w:r>
                            <w:r>
                              <w:rPr/>
                              <w:t xml:space="preserve"> </w:t>
                            </w:r>
                            <w:r>
                              <w:rPr>
                                <w:rFonts w:cs="Tahoma" w:ascii="Calibri" w:hAnsi="Calibri" w:asciiTheme="minorHAnsi" w:hAnsiTheme="minorHAnsi"/>
                                <w:sz w:val="22"/>
                                <w:szCs w:val="28"/>
                              </w:rPr>
                              <w:t>Your short name or acronym can be whatever you like it to be.</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must always have a President, Secretary and Treasurer, but you can choose another title for the President if you want. </w:t>
                            </w:r>
                          </w:p>
                          <w:p>
                            <w:pPr>
                              <w:pStyle w:val="ListParagraph"/>
                              <w:numPr>
                                <w:ilvl w:val="0"/>
                                <w:numId w:val="3"/>
                              </w:numPr>
                              <w:tabs>
                                <w:tab w:val="clear" w:pos="720"/>
                                <w:tab w:val="left" w:pos="4155" w:leader="none"/>
                              </w:tabs>
                              <w:spacing w:lineRule="auto" w:line="276" w:before="0" w:after="100"/>
                              <w:contextualSpacing/>
                              <w:rPr/>
                            </w:pPr>
                            <w:r>
                              <w:rPr>
                                <w:rFonts w:cs="Tahoma" w:ascii="Calibri" w:hAnsi="Calibri" w:asciiTheme="minorHAnsi" w:hAnsiTheme="minorHAnsi"/>
                                <w:sz w:val="22"/>
                                <w:szCs w:val="28"/>
                              </w:rPr>
                              <w:t xml:space="preserve">If you want to make any more changes, please discuss these with the Union first – </w:t>
                            </w:r>
                            <w:hyperlink r:id="rId2">
                              <w:r>
                                <w:rPr>
                                  <w:rStyle w:val="InternetLink"/>
                                  <w:rFonts w:cs="Tahoma" w:ascii="Calibri" w:hAnsi="Calibri" w:asciiTheme="minorHAnsi" w:hAnsiTheme="minorHAnsi"/>
                                  <w:sz w:val="22"/>
                                  <w:szCs w:val="28"/>
                                </w:rPr>
                                <w:t>democracy@susu.org</w:t>
                              </w:r>
                            </w:hyperlink>
                            <w:r>
                              <w:rPr>
                                <w:rFonts w:cs="Tahoma" w:ascii="Calibri" w:hAnsi="Calibri" w:asciiTheme="minorHAnsi" w:hAnsiTheme="minorHAnsi"/>
                                <w:sz w:val="22"/>
                                <w:szCs w:val="28"/>
                              </w:rPr>
                              <w:t>.</w:t>
                            </w:r>
                          </w:p>
                          <w:p>
                            <w:pPr>
                              <w:pStyle w:val="FrameContents"/>
                              <w:rPr/>
                            </w:pPr>
                            <w:r>
                              <w:rPr/>
                            </w:r>
                          </w:p>
                        </w:txbxContent>
                      </wps:txbx>
                      <wps:bodyPr>
                        <a:noAutofit/>
                      </wps:bodyPr>
                    </wps:wsp>
                  </a:graphicData>
                </a:graphic>
              </wp:anchor>
            </w:drawing>
          </mc:Choice>
          <mc:Fallback>
            <w:pict>
              <v:rect id="shape_0" ID="Text Box 2" fillcolor="white" stroked="t" style="position:absolute;margin-left:-5.05pt;margin-top:14.3pt;width:494.15pt;height:158.35pt" wp14:anchorId="41937172">
                <w10:wrap type="square"/>
                <v:fill o:detectmouseclick="t" type="solid" color2="black"/>
                <v:stroke color="black" weight="9360" joinstyle="miter" endcap="flat"/>
                <v:textbox>
                  <w:txbxContent>
                    <w:p>
                      <w:pPr>
                        <w:pStyle w:val="FrameContents"/>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sz w:val="28"/>
                          <w:szCs w:val="28"/>
                        </w:rPr>
                        <w:t>NOTES</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should only need to edit the text </w:t>
                      </w:r>
                      <w:r>
                        <w:rPr>
                          <w:rFonts w:cs="Tahoma" w:ascii="Calibri" w:hAnsi="Calibri" w:asciiTheme="minorHAnsi" w:hAnsiTheme="minorHAnsi"/>
                          <w:sz w:val="22"/>
                          <w:szCs w:val="28"/>
                          <w:highlight w:val="yellow"/>
                        </w:rPr>
                        <w:t>highlighted in yellow</w:t>
                      </w:r>
                      <w:r>
                        <w:rPr>
                          <w:rFonts w:cs="Tahoma" w:ascii="Calibri" w:hAnsi="Calibri" w:asciiTheme="minorHAnsi" w:hAnsiTheme="minorHAnsi"/>
                          <w:sz w:val="22"/>
                          <w:szCs w:val="28"/>
                        </w:rPr>
                        <w:t xml:space="preserve">, including adding or changing the Committee Members as you see fit. </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Your full name will usually start with “University of Southampton …”, so for example “University of Southampton Football Club”.</w:t>
                      </w:r>
                      <w:r>
                        <w:rPr/>
                        <w:t xml:space="preserve"> </w:t>
                      </w:r>
                      <w:r>
                        <w:rPr>
                          <w:rFonts w:cs="Tahoma" w:ascii="Calibri" w:hAnsi="Calibri" w:asciiTheme="minorHAnsi" w:hAnsiTheme="minorHAnsi"/>
                          <w:sz w:val="22"/>
                          <w:szCs w:val="28"/>
                        </w:rPr>
                        <w:t>Your short name or acronym can be whatever you like it to be.</w:t>
                      </w:r>
                    </w:p>
                    <w:p>
                      <w:pPr>
                        <w:pStyle w:val="ListParagraph"/>
                        <w:numPr>
                          <w:ilvl w:val="0"/>
                          <w:numId w:val="3"/>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sz w:val="22"/>
                          <w:szCs w:val="28"/>
                        </w:rPr>
                        <w:t xml:space="preserve">You must always have a President, Secretary and Treasurer, but you can choose another title for the President if you want. </w:t>
                      </w:r>
                    </w:p>
                    <w:p>
                      <w:pPr>
                        <w:pStyle w:val="ListParagraph"/>
                        <w:numPr>
                          <w:ilvl w:val="0"/>
                          <w:numId w:val="3"/>
                        </w:numPr>
                        <w:tabs>
                          <w:tab w:val="clear" w:pos="720"/>
                          <w:tab w:val="left" w:pos="4155" w:leader="none"/>
                        </w:tabs>
                        <w:spacing w:lineRule="auto" w:line="276" w:before="0" w:after="100"/>
                        <w:contextualSpacing/>
                        <w:rPr/>
                      </w:pPr>
                      <w:r>
                        <w:rPr>
                          <w:rFonts w:cs="Tahoma" w:ascii="Calibri" w:hAnsi="Calibri" w:asciiTheme="minorHAnsi" w:hAnsiTheme="minorHAnsi"/>
                          <w:sz w:val="22"/>
                          <w:szCs w:val="28"/>
                        </w:rPr>
                        <w:t xml:space="preserve">If you want to make any more changes, please discuss these with the Union first – </w:t>
                      </w:r>
                      <w:hyperlink r:id="rId3">
                        <w:r>
                          <w:rPr>
                            <w:rStyle w:val="InternetLink"/>
                            <w:rFonts w:cs="Tahoma" w:ascii="Calibri" w:hAnsi="Calibri" w:asciiTheme="minorHAnsi" w:hAnsiTheme="minorHAnsi"/>
                            <w:sz w:val="22"/>
                            <w:szCs w:val="28"/>
                          </w:rPr>
                          <w:t>democracy@susu.org</w:t>
                        </w:r>
                      </w:hyperlink>
                      <w:r>
                        <w:rPr>
                          <w:rFonts w:cs="Tahoma" w:ascii="Calibri" w:hAnsi="Calibri" w:asciiTheme="minorHAnsi" w:hAnsiTheme="minorHAnsi"/>
                          <w:sz w:val="22"/>
                          <w:szCs w:val="28"/>
                        </w:rPr>
                        <w:t>.</w:t>
                      </w:r>
                    </w:p>
                    <w:p>
                      <w:pPr>
                        <w:pStyle w:val="FrameContents"/>
                        <w:rPr/>
                      </w:pPr>
                      <w:r>
                        <w:rPr/>
                      </w:r>
                    </w:p>
                  </w:txbxContent>
                </v:textbox>
              </v:rect>
            </w:pict>
          </mc:Fallback>
        </mc:AlternateContent>
      </w:r>
    </w:p>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clear" w:pos="720"/>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rPr>
          <w:rFonts w:ascii="Calibri" w:hAnsi="Calibri" w:cs="Tahoma" w:asciiTheme="minorHAnsi" w:hAnsiTheme="minorHAnsi"/>
          <w:b/>
          <w:b/>
          <w:bCs/>
          <w:sz w:val="23"/>
          <w:szCs w:val="23"/>
        </w:rPr>
      </w:pPr>
      <w:r>
        <w:rPr>
          <w:rFonts w:cs="Tahoma" w:ascii="Calibri" w:hAnsi="Calibri"/>
          <w:b/>
          <w:bCs/>
          <w:sz w:val="23"/>
          <w:szCs w:val="23"/>
        </w:rPr>
      </w:r>
    </w:p>
    <w:p>
      <w:pPr>
        <w:pStyle w:val="Heading1"/>
        <w:rPr/>
      </w:pPr>
      <w:r>
        <w:rPr/>
      </w:r>
      <w:bookmarkStart w:id="0" w:name="_Toc369882026"/>
      <w:bookmarkStart w:id="1" w:name="_Toc369882026"/>
    </w:p>
    <w:p>
      <w:pPr>
        <w:pStyle w:val="Heading1"/>
        <w:rPr>
          <w:rFonts w:ascii="Calibri" w:hAnsi="Calibri" w:asciiTheme="minorHAnsi" w:hAnsiTheme="minorHAnsi"/>
        </w:rPr>
      </w:pPr>
      <w:bookmarkStart w:id="2" w:name="_Toc369882026"/>
      <w:r>
        <w:rPr>
          <w:rFonts w:ascii="Calibri" w:hAnsi="Calibri" w:asciiTheme="minorHAnsi" w:hAnsiTheme="minorHAnsi"/>
        </w:rPr>
        <w:t xml:space="preserve">1. </w:t>
        <w:tab/>
        <w:t>Adoption of the Constitution</w:t>
      </w:r>
      <w:bookmarkEnd w:id="2"/>
    </w:p>
    <w:p>
      <w:pPr>
        <w:pStyle w:val="Normal"/>
        <w:spacing w:lineRule="auto" w:line="276" w:before="0" w:after="100"/>
        <w:ind w:left="567" w:hanging="0"/>
        <w:jc w:val="both"/>
        <w:rPr/>
      </w:pPr>
      <w:r>
        <w:rPr>
          <w:rFonts w:cs="Tahoma" w:ascii="Calibri" w:hAnsi="Calibri" w:asciiTheme="minorHAnsi" w:hAnsiTheme="minorHAnsi"/>
          <w:sz w:val="23"/>
          <w:szCs w:val="23"/>
        </w:rPr>
        <w:t>This unincorporated association and its property shall be managed and administered in accordance with this Constitution.</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sz w:val="23"/>
          <w:szCs w:val="23"/>
        </w:rPr>
      </w:r>
    </w:p>
    <w:p>
      <w:pPr>
        <w:pStyle w:val="Heading1"/>
        <w:rPr>
          <w:rStyle w:val="LeadinEmphasis"/>
          <w:rFonts w:ascii="Calibri" w:hAnsi="Calibri" w:asciiTheme="minorHAnsi" w:hAnsiTheme="minorHAnsi"/>
          <w:b/>
          <w:b/>
        </w:rPr>
      </w:pPr>
      <w:bookmarkStart w:id="3" w:name="_Toc369882027"/>
      <w:r>
        <w:rPr>
          <w:rStyle w:val="LeadinEmphasis"/>
          <w:rFonts w:ascii="Calibri" w:hAnsi="Calibri" w:asciiTheme="minorHAnsi" w:hAnsiTheme="minorHAnsi"/>
          <w:b/>
          <w:caps/>
        </w:rPr>
        <w:t>2.</w:t>
        <w:tab/>
      </w:r>
      <w:r>
        <w:rPr>
          <w:rStyle w:val="LeadinEmphasis"/>
          <w:rFonts w:ascii="Calibri" w:hAnsi="Calibri" w:asciiTheme="minorHAnsi" w:hAnsiTheme="minorHAnsi"/>
          <w:b/>
        </w:rPr>
        <w:t>Name</w:t>
      </w:r>
      <w:bookmarkEnd w:id="3"/>
    </w:p>
    <w:p>
      <w:pPr>
        <w:pStyle w:val="Normal"/>
        <w:spacing w:lineRule="auto" w:line="276" w:before="0" w:after="100"/>
        <w:ind w:left="567" w:hanging="0"/>
        <w:jc w:val="both"/>
        <w:rPr/>
      </w:pPr>
      <w:r>
        <w:rPr>
          <w:rFonts w:cs="Tahoma" w:ascii="Calibri" w:hAnsi="Calibri" w:asciiTheme="minorHAnsi" w:hAnsiTheme="minorHAnsi"/>
          <w:sz w:val="23"/>
          <w:szCs w:val="23"/>
        </w:rPr>
        <w:t>The association’s name is “</w:t>
      </w:r>
      <w:r>
        <w:rPr>
          <w:rFonts w:cs="Tahoma" w:ascii="Calibri" w:hAnsi="Calibri" w:asciiTheme="minorHAnsi" w:hAnsiTheme="minorHAnsi"/>
          <w:sz w:val="23"/>
          <w:szCs w:val="23"/>
        </w:rPr>
        <w:t>HIGHFIELD FOOTBALL CLUB</w:t>
      </w:r>
      <w:r>
        <w:rPr>
          <w:rFonts w:cs="Tahoma" w:ascii="Calibri" w:hAnsi="Calibri" w:asciiTheme="minorHAnsi" w:hAnsiTheme="minorHAnsi"/>
          <w:sz w:val="23"/>
          <w:szCs w:val="23"/>
        </w:rPr>
        <w:t>” to be known as “</w:t>
      </w:r>
      <w:r>
        <w:rPr>
          <w:rFonts w:cs="Tahoma" w:ascii="Calibri" w:hAnsi="Calibri" w:asciiTheme="minorHAnsi" w:hAnsiTheme="minorHAnsi"/>
          <w:sz w:val="23"/>
          <w:szCs w:val="23"/>
          <w:highlight w:val="yellow"/>
        </w:rPr>
        <w:t>HIGHFIELD</w:t>
      </w:r>
      <w:r>
        <w:rPr>
          <w:rFonts w:cs="Tahoma" w:ascii="Calibri" w:hAnsi="Calibri" w:asciiTheme="minorHAnsi" w:hAnsiTheme="minorHAnsi"/>
          <w:sz w:val="23"/>
          <w:szCs w:val="23"/>
        </w:rPr>
        <w:t>” and hereinafter ‘the Group’.</w:t>
      </w:r>
    </w:p>
    <w:p>
      <w:pPr>
        <w:pStyle w:val="Normal"/>
        <w:spacing w:lineRule="auto" w:line="276" w:before="0" w:after="100"/>
        <w:ind w:left="567" w:hanging="0"/>
        <w:jc w:val="both"/>
        <w:rPr>
          <w:rFonts w:ascii="Calibri" w:hAnsi="Calibri" w:cs="Tahoma" w:asciiTheme="minorHAnsi" w:hAnsiTheme="minorHAnsi"/>
          <w:bCs/>
          <w:sz w:val="23"/>
          <w:szCs w:val="23"/>
        </w:rPr>
      </w:pPr>
      <w:r>
        <w:rPr>
          <w:rFonts w:cs="Tahoma" w:ascii="Calibri" w:hAnsi="Calibri"/>
          <w:bCs/>
          <w:sz w:val="23"/>
          <w:szCs w:val="23"/>
        </w:rPr>
      </w:r>
    </w:p>
    <w:p>
      <w:pPr>
        <w:pStyle w:val="Heading1"/>
        <w:rPr>
          <w:rFonts w:ascii="Calibri" w:hAnsi="Calibri" w:asciiTheme="minorHAnsi" w:hAnsiTheme="minorHAnsi"/>
        </w:rPr>
      </w:pPr>
      <w:bookmarkStart w:id="4" w:name="_Toc369882028"/>
      <w:r>
        <w:rPr>
          <w:rFonts w:ascii="Calibri" w:hAnsi="Calibri" w:asciiTheme="minorHAnsi" w:hAnsiTheme="minorHAnsi"/>
        </w:rPr>
        <w:t>3.</w:t>
        <w:tab/>
        <w:t>Objects</w:t>
      </w:r>
      <w:bookmarkEnd w:id="4"/>
      <w:r>
        <w:rPr>
          <w:rFonts w:ascii="Calibri" w:hAnsi="Calibri" w:asciiTheme="minorHAnsi" w:hAnsiTheme="minorHAnsi"/>
        </w:rPr>
        <w:t xml:space="preserve"> </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The objectives of the Group, ‘the objects’, are:</w:t>
      </w:r>
    </w:p>
    <w:p>
      <w:pPr>
        <w:pStyle w:val="ListParagraph"/>
        <w:numPr>
          <w:ilvl w:val="0"/>
          <w:numId w:val="2"/>
        </w:numPr>
        <w:spacing w:lineRule="auto" w:line="276" w:before="0" w:after="100"/>
        <w:contextualSpacing/>
        <w:jc w:val="both"/>
        <w:rPr/>
      </w:pPr>
      <w:r>
        <w:rPr>
          <w:rFonts w:cs="Tahoma" w:ascii="Calibri" w:hAnsi="Calibri" w:asciiTheme="minorHAnsi" w:hAnsiTheme="minorHAnsi"/>
          <w:sz w:val="23"/>
          <w:szCs w:val="23"/>
          <w:highlight w:val="yellow"/>
        </w:rPr>
        <w:t>Aim for a mid-table league position</w:t>
        <w:tab/>
      </w:r>
    </w:p>
    <w:p>
      <w:pPr>
        <w:pStyle w:val="ListParagraph"/>
        <w:numPr>
          <w:ilvl w:val="0"/>
          <w:numId w:val="2"/>
        </w:numPr>
        <w:spacing w:lineRule="auto" w:line="276" w:before="0" w:after="100"/>
        <w:contextualSpacing/>
        <w:jc w:val="both"/>
        <w:rPr/>
      </w:pPr>
      <w:r>
        <w:rPr>
          <w:rFonts w:cs="Tahoma" w:ascii="Calibri" w:hAnsi="Calibri" w:asciiTheme="minorHAnsi" w:hAnsiTheme="minorHAnsi"/>
          <w:sz w:val="23"/>
          <w:szCs w:val="23"/>
          <w:highlight w:val="yellow"/>
        </w:rPr>
        <w:t>Organise weekly, fun and inclusive socials</w:t>
      </w:r>
    </w:p>
    <w:p>
      <w:pPr>
        <w:pStyle w:val="ListParagraph"/>
        <w:numPr>
          <w:ilvl w:val="0"/>
          <w:numId w:val="2"/>
        </w:numPr>
        <w:spacing w:lineRule="auto" w:line="276" w:before="0" w:after="100"/>
        <w:contextualSpacing/>
        <w:jc w:val="both"/>
        <w:rPr/>
      </w:pPr>
      <w:r>
        <w:rPr>
          <w:rFonts w:cs="Tahoma" w:ascii="Calibri" w:hAnsi="Calibri" w:asciiTheme="minorHAnsi" w:hAnsiTheme="minorHAnsi"/>
          <w:sz w:val="23"/>
          <w:szCs w:val="23"/>
          <w:highlight w:val="yellow"/>
        </w:rPr>
        <w:t>Form friendships with fellow students across yeargroups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5" w:name="_Toc369882029"/>
      <w:r>
        <w:rPr>
          <w:rFonts w:ascii="Calibri" w:hAnsi="Calibri" w:asciiTheme="minorHAnsi" w:hAnsiTheme="minorHAnsi"/>
        </w:rPr>
        <w:t>4.</w:t>
        <w:tab/>
        <w:t>Membership</w:t>
      </w:r>
      <w:bookmarkEnd w:id="5"/>
      <w:r>
        <w:rPr>
          <w:rFonts w:ascii="Calibri" w:hAnsi="Calibri" w:asciiTheme="minorHAnsi" w:hAnsiTheme="minorHAnsi"/>
        </w:rPr>
        <w:tab/>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Membership is open to natural persons, and is not transferable to anyone else.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Membership is constituted in the following categories:</w:t>
      </w:r>
    </w:p>
    <w:p>
      <w:pPr>
        <w:pStyle w:val="Normal"/>
        <w:tabs>
          <w:tab w:val="clear" w:pos="720"/>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ab/>
        <w:t>(a)</w:t>
        <w:tab/>
        <w:t>Full, open only to Full Members of the Students’ Union;</w:t>
      </w:r>
    </w:p>
    <w:p>
      <w:pPr>
        <w:pStyle w:val="Normal"/>
        <w:tabs>
          <w:tab w:val="clear" w:pos="720"/>
          <w:tab w:val="left" w:pos="2268"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Associate, open to Associate Members of the Students’ Union, and to those students of the University who have exercised their right not to be members of the Students’ Union.</w:t>
      </w:r>
    </w:p>
    <w:p>
      <w:pPr>
        <w:pStyle w:val="Normal"/>
        <w:tabs>
          <w:tab w:val="clear" w:pos="720"/>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Only Full Members are entitled to be elected to the Committee, or to propose, discuss and vote at a General Meeting.  These are the sole privileges afforded to the Full Members over any other category of Membership.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Group may charge a fee for admission to Membership, which may be set by a Meeting of the Committee.</w:t>
      </w:r>
    </w:p>
    <w:p>
      <w:pPr>
        <w:pStyle w:val="Normal"/>
        <w:spacing w:lineRule="auto" w:line="276" w:before="0" w:after="100"/>
        <w:ind w:left="1701" w:hanging="1134"/>
        <w:jc w:val="both"/>
        <w:rPr/>
      </w:pPr>
      <w:r>
        <w:rPr>
          <w:rFonts w:cs="Tahoma" w:ascii="Calibri" w:hAnsi="Calibri" w:asciiTheme="minorHAnsi" w:hAnsiTheme="minorHAnsi"/>
          <w:sz w:val="23"/>
          <w:szCs w:val="23"/>
        </w:rPr>
        <w:t>(5)</w:t>
        <w:tab/>
        <w:t xml:space="preserve">The Committee must keep a register of members (‘the register’) on the Student Groups Hub provided by the Students’ Union at </w:t>
      </w:r>
      <w:hyperlink r:id="rId4">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w:t>
      </w:r>
    </w:p>
    <w:p>
      <w:pPr>
        <w:pStyle w:val="Normal"/>
        <w:tabs>
          <w:tab w:val="clear" w:pos="720"/>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The Committee may only refuse an application for Membership if, acting reasonably and properly, they consider it to be in the best interests of the Group to refuse the application.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Membership is terminated if:</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the Member resigns by written notice to the Committee.</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any sum due from the Member to the Group is not paid in full within six months of it falling due.</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 Member ceases to be qualified for their category of Membership.</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membership is revoked by a resolution of the Members in General Meeting or a Meeting of the Committee, in accordance with Clause 13, ‘Disciplinary Action’.</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caps/>
        </w:rPr>
      </w:pPr>
      <w:bookmarkStart w:id="6" w:name="_Toc369882030"/>
      <w:r>
        <w:rPr>
          <w:rFonts w:ascii="Calibri" w:hAnsi="Calibri" w:asciiTheme="minorHAnsi" w:hAnsiTheme="minorHAnsi"/>
          <w:caps/>
        </w:rPr>
        <w:t>5.</w:t>
        <w:tab/>
      </w:r>
      <w:r>
        <w:rPr>
          <w:rFonts w:ascii="Calibri" w:hAnsi="Calibri" w:asciiTheme="minorHAnsi" w:hAnsiTheme="minorHAnsi"/>
        </w:rPr>
        <w:t>General Meetings</w:t>
      </w:r>
      <w:bookmarkEnd w:id="6"/>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General Meeting constitute the Group’s highest decision-making body, subject to the provisions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The Group must hold an Annual General Meeting (AGM) in each academic year and not more than fifteen months may elapse between successive AGMs.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A General Meeting that is not an Annual General Meeting is called an Extraordinary General Meeting (EGM).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may call an Extraordinary General Meeting at any time.</w:t>
      </w:r>
    </w:p>
    <w:p>
      <w:pPr>
        <w:pStyle w:val="Normal"/>
        <w:tabs>
          <w:tab w:val="clear" w:pos="720"/>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 xml:space="preserve">The Committee must call an Extraordinary General Meeting if requested to do so in writing by at least five Full Members of the Group.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Members’ written request must state a complete agenda for the EGM.</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 xml:space="preserve">If the Committee do not hold an EGM within five days of their receipt of the Members’ written request, the Members may proceed to hold an EGM in accordance with Clause 6, ‘Proceedings of General Meetings’. </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7" w:name="_Toc369882031"/>
      <w:r>
        <w:rPr>
          <w:rFonts w:ascii="Calibri" w:hAnsi="Calibri" w:asciiTheme="minorHAnsi" w:hAnsiTheme="minorHAnsi"/>
        </w:rPr>
        <w:t xml:space="preserve">6. </w:t>
        <w:tab/>
        <w:t>Proceedings of General Meetings</w:t>
      </w:r>
      <w:bookmarkEnd w:id="7"/>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Notice: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minimum period of notice required to hold an Annual General Meeting is ten days.  The minimum period of notice required to hold an Extraordinary General Meeting is three days.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notice must specify the date, time and place of the General Meeting, and an agenda for the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If the General Meeting is to be an AGM, the notice must say so, and must invite nominations in accordance with Clause 9, ‘Appointment of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 xml:space="preserve">Notice must be given to all Members and to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Chairing:</w:t>
      </w:r>
    </w:p>
    <w:p>
      <w:pPr>
        <w:pStyle w:val="Normal"/>
        <w:spacing w:lineRule="auto" w:line="276" w:before="0" w:after="100"/>
        <w:ind w:left="2160" w:hanging="459"/>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General Meetings shall usually be chaired by the person who has been elected as President.</w:t>
      </w:r>
    </w:p>
    <w:p>
      <w:pPr>
        <w:pStyle w:val="Normal"/>
        <w:tabs>
          <w:tab w:val="clear" w:pos="720"/>
          <w:tab w:val="left" w:pos="1701"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there is no such person or they are not present within fifteen minutes of the time appointed for the General Meeting, the Full Members present must elect one of their number to chair.</w:t>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Associate Members may speak at General Meetings with the permission of the meeting.</w:t>
      </w:r>
    </w:p>
    <w:p>
      <w:pPr>
        <w:pStyle w:val="Normal"/>
        <w:ind w:firstLine="567"/>
        <w:rPr>
          <w:rFonts w:ascii="Calibri" w:hAnsi="Calibri" w:asciiTheme="minorHAnsi" w:hAnsiTheme="minorHAnsi"/>
          <w:sz w:val="23"/>
          <w:szCs w:val="23"/>
        </w:rPr>
      </w:pPr>
      <w:r>
        <w:rPr>
          <w:rFonts w:ascii="Calibri" w:hAnsi="Calibri" w:asciiTheme="minorHAnsi" w:hAnsiTheme="minorHAnsi"/>
          <w:sz w:val="23"/>
          <w:szCs w:val="23"/>
        </w:rPr>
        <w:t xml:space="preserve">(4) </w:t>
        <w:tab/>
        <w:t>Voting: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Every Full Member present at a General Meeting, with the exception of the Chair, shall be entitled to one vote upon every voting matter.  In the case of an equality of votes, the Chair shall have a casting vote.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Decisions may only be made by at least a simple majority of votes at a quorate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All voting shall be by a show of hands or secret ballot, at the discretion of the Chair.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Minutes: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Minutes must be taken of all proceedings at a General Meeting, including the decisions made and where appropriate the reasons for the decisions.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Minutes of a General Meeting shall be made available to all Members within seven days.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Reports: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 xml:space="preserve">If the General Meeting is an AGM, the Chair may invite any of the Committee to offer a report of their activities whilst in office.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Treasurer must present the Group’s accounts to the Members at the AGM.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Resolutions: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Any Full Member may propose a resolution to be discussed and voted upon at a General Meeting.</w:t>
      </w:r>
    </w:p>
    <w:p>
      <w:pPr>
        <w:pStyle w:val="Heading1"/>
        <w:rPr>
          <w:rFonts w:ascii="Calibri" w:hAnsi="Calibri" w:asciiTheme="minorHAnsi" w:hAnsiTheme="minorHAnsi"/>
        </w:rPr>
      </w:pPr>
      <w:bookmarkStart w:id="8" w:name="_Toc369882032"/>
      <w:r>
        <w:rPr>
          <w:rFonts w:ascii="Calibri" w:hAnsi="Calibri" w:asciiTheme="minorHAnsi" w:hAnsiTheme="minorHAnsi"/>
        </w:rPr>
        <w:t>7.</w:t>
        <w:tab/>
        <w:t>Officers and the Committee</w:t>
      </w:r>
      <w:bookmarkEnd w:id="8"/>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Group and its property shall be administered and managed by a Committee comprising the officers appointed in accordance with Clause 9, ‘Appointment of the Committee’.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(2)</w:t>
        <w:tab/>
        <w:t>The Group shall have the following officers: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President.  The President shall oversee the organisation and management of the Group and the Committee as a whole; ensure the officers’ accountability to Members, the Committee, and the Students’ Union; and represent the Group to all external interests.</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 xml:space="preserve">Secretary.  The Secretary shall oversee the administration of the Group, take minutes at General Meetings and Meetings of the Committee, and maintain the register.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Treasurer.  The Treasurer shall oversee the financing of the Group, set the Group's budget, and maintain the accounts of the Group.</w:t>
      </w:r>
    </w:p>
    <w:p>
      <w:pPr>
        <w:pStyle w:val="Normal"/>
        <w:spacing w:lineRule="auto" w:line="276" w:before="0" w:after="100"/>
        <w:ind w:left="2268" w:hanging="567"/>
        <w:jc w:val="both"/>
        <w:rPr>
          <w:rFonts w:ascii="Calibri" w:hAnsi="Calibri" w:cs="Tahoma" w:asciiTheme="minorHAnsi" w:hAnsiTheme="minorHAnsi"/>
          <w:sz w:val="23"/>
          <w:szCs w:val="23"/>
          <w:highlight w:val="yellow"/>
        </w:rPr>
      </w:pPr>
      <w:r>
        <w:rPr>
          <w:rFonts w:cs="Tahoma" w:ascii="Calibri" w:hAnsi="Calibri" w:asciiTheme="minorHAnsi" w:hAnsiTheme="minorHAnsi"/>
          <w:sz w:val="23"/>
          <w:szCs w:val="23"/>
          <w:highlight w:val="yellow"/>
        </w:rPr>
        <w:t>(d)</w:t>
        <w:tab/>
        <w:t>Events Secretary.  The Events Secretary shall provide social and cultural pursuits for the Group’s Members on a large scale, such as Balls, sojourns, and theatre trips.  They shall also support, and be supported by, the Social Secretary in the promotion and maintenance of the overall Group ethos.</w:t>
      </w:r>
    </w:p>
    <w:p>
      <w:pPr>
        <w:pStyle w:val="Normal"/>
        <w:spacing w:lineRule="auto" w:line="276" w:before="0" w:after="100"/>
        <w:ind w:left="2268" w:hanging="567"/>
        <w:jc w:val="both"/>
        <w:rPr>
          <w:rFonts w:ascii="Calibri" w:hAnsi="Calibri" w:cs="Tahoma" w:asciiTheme="minorHAnsi" w:hAnsiTheme="minorHAnsi"/>
          <w:sz w:val="23"/>
          <w:szCs w:val="23"/>
          <w:highlight w:val="yellow"/>
        </w:rPr>
      </w:pPr>
      <w:r>
        <w:rPr>
          <w:rFonts w:cs="Tahoma" w:ascii="Calibri" w:hAnsi="Calibri" w:asciiTheme="minorHAnsi" w:hAnsiTheme="minorHAnsi"/>
          <w:sz w:val="23"/>
          <w:szCs w:val="23"/>
          <w:highlight w:val="yellow"/>
        </w:rPr>
        <w:t>(e)</w:t>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pPr>
        <w:pStyle w:val="Normal"/>
        <w:spacing w:lineRule="auto" w:line="276" w:before="0" w:after="100"/>
        <w:ind w:left="2268" w:hanging="567"/>
        <w:jc w:val="both"/>
        <w:rPr>
          <w:rFonts w:ascii="Calibri" w:hAnsi="Calibri" w:cs="Tahoma" w:asciiTheme="minorHAnsi" w:hAnsiTheme="minorHAnsi"/>
          <w:sz w:val="23"/>
          <w:szCs w:val="23"/>
          <w:highlight w:val="yellow"/>
        </w:rPr>
      </w:pPr>
      <w:r>
        <w:rPr>
          <w:rFonts w:cs="Tahoma" w:ascii="Calibri" w:hAnsi="Calibri" w:asciiTheme="minorHAnsi" w:hAnsiTheme="minorHAnsi"/>
          <w:sz w:val="23"/>
          <w:szCs w:val="23"/>
          <w:highlight w:val="yellow"/>
        </w:rPr>
        <w:t>(f)</w:t>
        <w:tab/>
        <w:t>Welfare Officer.  The Welfare Officer shall provide welfare pursuits for the Group’s Members, and offer academic advice in conjunction with the course representatives of the Students’ Union.</w:t>
      </w:r>
    </w:p>
    <w:p>
      <w:pPr>
        <w:pStyle w:val="Normal"/>
        <w:spacing w:lineRule="auto" w:line="276" w:before="0" w:after="100"/>
        <w:ind w:left="2268" w:hanging="567"/>
        <w:jc w:val="both"/>
        <w:rPr>
          <w:rFonts w:ascii="Calibri" w:hAnsi="Calibri" w:cs="Tahoma" w:asciiTheme="minorHAnsi" w:hAnsiTheme="minorHAnsi"/>
          <w:sz w:val="23"/>
          <w:szCs w:val="23"/>
          <w:highlight w:val="yellow"/>
        </w:rPr>
      </w:pPr>
      <w:r>
        <w:rPr>
          <w:rFonts w:cs="Tahoma" w:ascii="Calibri" w:hAnsi="Calibri" w:asciiTheme="minorHAnsi" w:hAnsiTheme="minorHAnsi"/>
          <w:sz w:val="23"/>
          <w:szCs w:val="23"/>
          <w:highlight w:val="yellow"/>
        </w:rPr>
        <w:t>(g)</w:t>
        <w:tab/>
        <w:t>Publicity Officer.  The Publicity Officer shall communicate the Group’s activities to Members and the Students’ Union, and lead on the organisation of the Group’s democratic processes.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highlight w:val="yellow"/>
        </w:rPr>
        <w:t>(h)</w:t>
        <w:tab/>
        <w:t>Sports Secretary.  The Sports Secretary shall provide athletic pursuits for the Group’s Members, including the organisation of the intra-mural sports teams and their training.</w:t>
      </w:r>
      <w:r>
        <w:rPr>
          <w:rFonts w:cs="Tahoma" w:ascii="Calibri" w:hAnsi="Calibri" w:asciiTheme="minorHAnsi" w:hAnsiTheme="minorHAnsi"/>
          <w:sz w:val="23"/>
          <w:szCs w:val="23"/>
        </w:rPr>
        <w:t xml:space="preserve">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No one may be appointed a member of the Committee if they have been disqualified from becoming a member of the Committee under the provisions of Clause 13, ‘Disciplinary Action’.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 xml:space="preserve">The number of the Committee must not be less than three, though is not subject to any maximum.  There must always be: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 President;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Secretary;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a Treasurer.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An officer or ordinary member of the Committee shall cease to hold office if they: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ceases to be a Full Member of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resigns by notice to the Group, or</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is removed from office by a resolution of the Members in General Meeting or a Meeting of the Committee, in accordance with Clause 13, ‘Disciplinary Action’.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9" w:name="_Toc369882033"/>
      <w:r>
        <w:rPr>
          <w:rFonts w:ascii="Calibri" w:hAnsi="Calibri" w:asciiTheme="minorHAnsi" w:hAnsiTheme="minorHAnsi"/>
        </w:rPr>
        <w:t>8.</w:t>
        <w:tab/>
        <w:t>Meetings of the Committee</w:t>
      </w:r>
      <w:bookmarkEnd w:id="9"/>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may regulate their proceedings as they think fit, subject to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Any member of the Committee may request the Secretary to call a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Secretary must call a Meeting of the Committee if requested to do so by a member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 xml:space="preserve">Meetings of the Committee shall usually be chaired by the person who has been elected as President.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quorum for a Meeting of the Committee shall be three members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No decision may be made by a Meeting of the Committee unless a quorum is present at the time the decision is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Every member of the Committee, with the exception of the Chair, shall be entitled to one deliberative vote upon every voting matter. In the case of an equality of votes, the Chair shall have a casting vote.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Decisions may only be made by at least a simple majority of votes at a quorate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(9) </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(10)</w:t>
        <w:tab/>
        <w:t>Minutes must be taken of all proceedings at a Meeting of the Committee, including the decisions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0" w:name="_Toc369882034"/>
      <w:r>
        <w:rPr>
          <w:rFonts w:ascii="Calibri" w:hAnsi="Calibri" w:asciiTheme="minorHAnsi" w:hAnsiTheme="minorHAnsi"/>
        </w:rPr>
        <w:t>9.</w:t>
        <w:tab/>
        <w:t>Appointment of the Committee</w:t>
      </w:r>
      <w:bookmarkEnd w:id="10"/>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Full Members of the Group in General Meeting shall appoint the officers and ordinary members of the Committee by election.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Elections for the Committee shall be held at an Annual General Meeting.  By-elections for vacant offices shall be held at an Extraordinary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First-Past-The-Post system shall be used for all elections.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all elections Re-Open Nominations, ‘RON’, shall be a candidate.  An election yielding a result of RON shall be re-run as a by-election.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Normal"/>
        <w:tabs>
          <w:tab w:val="clear" w:pos="720"/>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w:t>
        <w:tab/>
        <w:t>A member of the Committee shall assume office with effect from the conclusion of the General Meeting of their appointment.</w:t>
      </w:r>
    </w:p>
    <w:p>
      <w:pPr>
        <w:pStyle w:val="Normal"/>
        <w:tabs>
          <w:tab w:val="clear" w:pos="720"/>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ab/>
        <w:t>(b)</w:t>
        <w:tab/>
        <w:t>A member of the Committee shall retire with effect from the conclusion of the AGM next after their appointment, but shall be eligible for re-election at that AGM.</w:t>
      </w:r>
    </w:p>
    <w:p>
      <w:pPr>
        <w:pStyle w:val="Normal"/>
        <w:spacing w:lineRule="auto" w:line="276" w:before="0" w:after="100"/>
        <w:ind w:left="1701" w:hanging="1134"/>
        <w:jc w:val="both"/>
        <w:rPr/>
      </w:pPr>
      <w:r>
        <w:rPr>
          <w:rFonts w:cs="Tahoma" w:ascii="Calibri" w:hAnsi="Calibri" w:asciiTheme="minorHAnsi" w:hAnsiTheme="minorHAnsi"/>
          <w:sz w:val="23"/>
          <w:szCs w:val="23"/>
        </w:rPr>
        <w:t>(4)</w:t>
        <w:tab/>
        <w:t xml:space="preserve">The Committee must update their committee information on the Student Groups Hub provided by the Students’ Union at </w:t>
      </w:r>
      <w:hyperlink r:id="rId5">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 xml:space="preserve"> (or failing that inform the Students’ Union’s Student Groups Officer) within seven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 retiring member of the Committee must transfer all relevant information and documentation to their newly-elected counterpart, or to the President, within fourteen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1" w:name="_Toc369882035"/>
      <w:r>
        <w:rPr>
          <w:rFonts w:ascii="Calibri" w:hAnsi="Calibri" w:asciiTheme="minorHAnsi" w:hAnsiTheme="minorHAnsi"/>
        </w:rPr>
        <w:t>10.</w:t>
        <w:tab/>
        <w:t>Financial Management</w:t>
      </w:r>
      <w:bookmarkEnd w:id="11"/>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are jointly liable for the proper management of the Group’s finances.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income and property of the Group must be applied solely towards the promotion of the objects.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members of the Committee are entitled to be reimbursed from the property of the Group or may pay out of such property only for reasonable expenses properly incurred by them when acting on behalf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accounts of the Group, as maintained by the Treasurer, must be made available to the Students’ Union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2" w:name="_Toc369882036"/>
      <w:r>
        <w:rPr>
          <w:rFonts w:ascii="Calibri" w:hAnsi="Calibri" w:asciiTheme="minorHAnsi" w:hAnsiTheme="minorHAnsi"/>
        </w:rPr>
        <w:t>11.</w:t>
        <w:tab/>
        <w:t>Irregularities and Saving Provisions</w:t>
      </w:r>
      <w:bookmarkEnd w:id="12"/>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(1) </w:t>
        <w:tab/>
        <w:t>Subject to sub-clause (2) of this Clause, all acts done by a Meeting of the Committee shall be valid notwithstanding the participation in any vote of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who was disqualified from holding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who had previously retired or who had been obliged by this Constitution to vacate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who was not entitled to vote on the matter, whether by reason of a conflict of interests or otherwise.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(2) </w:t>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Members in General Meeting may only invalidate, as a Point of Order, a resolution or act of:</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Members in General Meeting;</w:t>
      </w:r>
    </w:p>
    <w:p>
      <w:pPr>
        <w:pStyle w:val="Normal"/>
        <w:spacing w:lineRule="auto" w:line="276" w:before="0" w:after="100"/>
        <w:ind w:left="1701"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if it may be demonstrated that a procedural defect in the same has materially prejudiced a Member of the Group.</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3" w:name="_Toc369882037"/>
      <w:r>
        <w:rPr>
          <w:rFonts w:ascii="Calibri" w:hAnsi="Calibri" w:asciiTheme="minorHAnsi" w:hAnsiTheme="minorHAnsi"/>
        </w:rPr>
        <w:t xml:space="preserve">12. </w:t>
        <w:tab/>
        <w:t>Conflicts of Interests and Conflicts of Loyalties</w:t>
      </w:r>
      <w:bookmarkEnd w:id="13"/>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A member of the Committee must: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declare the nature and extent of any interest, direct or indirect, which they has in any decisions of a Meeting of the Committee or in any transaction or arrangement entered into by the Group which has not been previously declared;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absent themselves from any discussions of the Committee in which it is possible that a conflict will arise between their duty to act solely in the interests of the Group and any personal interest, including but not limited to any personal financial interest.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Any member of the Committee absenting themselves from any discussions in accordance with this Clause must not vote or be counted as part of the quorum in any decision of the Committee on the matter.</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rPr>
      </w:pPr>
      <w:bookmarkStart w:id="14" w:name="_Toc369882038"/>
      <w:r>
        <w:rPr>
          <w:rFonts w:ascii="Calibri" w:hAnsi="Calibri" w:asciiTheme="minorHAnsi" w:hAnsiTheme="minorHAnsi"/>
          <w:caps/>
        </w:rPr>
        <w:t>13.</w:t>
        <w:tab/>
      </w:r>
      <w:r>
        <w:rPr>
          <w:rFonts w:ascii="Calibri" w:hAnsi="Calibri" w:asciiTheme="minorHAnsi" w:hAnsiTheme="minorHAnsi"/>
        </w:rPr>
        <w:t>Disciplinary Action</w:t>
      </w:r>
      <w:bookmarkEnd w:id="14"/>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Disciplinary action may be taken against any Member of the Group as a consequence of conduct: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detrimental to the reputation of the Group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opposed to the objects of the Group (see clause 2)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contravention of any provision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Disciplinary action that may be taken against any Member may be, but is not limited to:</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issue of a formal written warning.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partial or total ban from certain Group activities.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disqualification from becoming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removal of a member of the Committee from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(e)</w:t>
        <w:tab/>
        <w:t>temporary or permanent revocation of Membership.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(f)</w:t>
        <w:tab/>
        <w:t>referral of the complaint to the Students’ Union’s Disciplinary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Any disciplinary hearing must be conducted in an impartial, balanced, and fair manner, considering all representations on the matter.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All disciplinary action must be subject to prior discussion with the Students’ Union’s Vice President Activities.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Members subject to disciplinary action have the right of appeal to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A full report of all disciplinary action taken by the Group in the previous year must be presented at the AGM.</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5" w:name="_Toc369882039"/>
      <w:r>
        <w:rPr>
          <w:rFonts w:ascii="Calibri" w:hAnsi="Calibri" w:asciiTheme="minorHAnsi" w:hAnsiTheme="minorHAnsi"/>
        </w:rPr>
        <w:t>14.</w:t>
        <w:tab/>
      </w:r>
      <w:r>
        <w:rPr>
          <w:rFonts w:ascii="Calibri" w:hAnsi="Calibri" w:asciiTheme="minorHAnsi" w:hAnsiTheme="minorHAnsi"/>
          <w:caps/>
        </w:rPr>
        <w:t>A</w:t>
      </w:r>
      <w:r>
        <w:rPr>
          <w:rFonts w:ascii="Calibri" w:hAnsi="Calibri" w:asciiTheme="minorHAnsi" w:hAnsiTheme="minorHAnsi"/>
        </w:rPr>
        <w:t>ffiliation to External Organisations</w:t>
      </w:r>
      <w:bookmarkEnd w:id="15"/>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Group may only become an affiliate of an external organisation if:</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aims of that organisation are in line with those of the Group;</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the Members derive a direct benefit from the affiliation;</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no Policy of the Students’ Union is breached by the affiliation;</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a resolution to affiliate is passed by the Members in General Meeting.</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Group’s affiliation to an external organisation shall immediately lapse:</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at the conclusion of each Annual General Meeting after affiliation, unless the Members in General Meeting resolve to re-affiliate at each AGM in accordance with sub-clause (1) of this Clause.</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a resolution to disaffiliate is passed by the Members in General Meeting.</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All external affiliations and disaffiliations must be reported to the Students’ Union’s Student Groups Committee within seven days.</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For the avoidance of doubt, the Students’ Union is not an external organisation for the purposes of this Clause.</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6" w:name="_Toc369882040"/>
      <w:r>
        <w:rPr>
          <w:rFonts w:ascii="Calibri" w:hAnsi="Calibri" w:asciiTheme="minorHAnsi" w:hAnsiTheme="minorHAnsi"/>
        </w:rPr>
        <w:t xml:space="preserve">15. </w:t>
        <w:tab/>
        <w:t>Amendment to the Constitution</w:t>
      </w:r>
      <w:bookmarkEnd w:id="16"/>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Group may amend any provision contained in this Constitution provided that: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amendments do not:</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w:t>
        <w:tab/>
        <w:t>alter the objects in such a way that undermines or works against the previous objects of the Group;</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(ii)</w:t>
        <w:tab/>
        <w:t>retrospectively invalidate any prior act of the Members in General Meeting or a Meeting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resolution to amend a provision of this Constitution is passed by at least a two-thirds majority of the Full Members present at a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a copy of the resolution amending this Constitution is sent to the Students’ Union within seven days of it being passed;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the resolution is ratified by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provisions of this Constitution shall be subordinate to those of the Articles, Rules, By-Laws and Policies of the Students’ Union.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Committee and the Students’ Union shall retain a copy of this Constitution, which the Committee must make available to Members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7" w:name="_Toc369882041"/>
      <w:r>
        <w:rPr>
          <w:rFonts w:ascii="Calibri" w:hAnsi="Calibri" w:asciiTheme="minorHAnsi" w:hAnsiTheme="minorHAnsi"/>
        </w:rPr>
        <w:t xml:space="preserve">16. </w:t>
        <w:tab/>
        <w:t>Dissolution</w:t>
      </w:r>
      <w:bookmarkEnd w:id="17"/>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If the Members resolve to dissolve the Group, the Committee will remain in office and be responsible for winding up the affairs of the Group in accordance with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 resolution to dissolve the Group must be passed by at least a two-thirds majority of the Full Members present at a General Meeting;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Committee must collect in all the assets of the Group and must pay or make provision for all the liabilities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must apply any remaining property or money: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directly for the objects;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by transfer to any Group or Societies for purposes the same as or similar to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in such other manner as the Students’ Union’s Student Groups Committee may approve in writing in advance.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In no circumstances shall the net assets of the Group be paid to or distributed among the Members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 xml:space="preserve">The Committee must ensure the register and all other data held by the Group are securely destroyed upon the dissolution of the Group.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8" w:name="_Toc369882042"/>
      <w:r>
        <w:rPr>
          <w:rFonts w:ascii="Calibri" w:hAnsi="Calibri" w:asciiTheme="minorHAnsi" w:hAnsiTheme="minorHAnsi"/>
        </w:rPr>
        <w:t>17.</w:t>
        <w:tab/>
        <w:t>Interpretation</w:t>
      </w:r>
      <w:bookmarkEnd w:id="18"/>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In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University’ means ‘the University of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‘University term’ and ‘academic year’ have the definitions set out in the University Calendar and Almanac.</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‘Financial benefit’ means a benefit, direct or indirect, which is either money or has a monetary value.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Students’ Union’ means ‘The University of Southampton Students’ Union’, trading as ‘Union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‘Articles’, or ‘Articles of the Students’ Union’ mean the Students’ Union’s Articles of Association. ‘Rules’ and ‘Policies’ have the definitions set out in the Articles. ‘By-Laws’ has the definition set out in the Rules.</w:t>
      </w:r>
    </w:p>
    <w:p>
      <w:pPr>
        <w:pStyle w:val="Normal"/>
        <w:spacing w:lineRule="auto" w:line="276" w:before="0" w:after="100"/>
        <w:ind w:left="567"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9" w:name="_Toc369882043"/>
      <w:r>
        <w:rPr>
          <w:rFonts w:ascii="Calibri" w:hAnsi="Calibri" w:asciiTheme="minorHAnsi" w:hAnsiTheme="minorHAnsi"/>
        </w:rPr>
        <w:t>18.</w:t>
        <w:tab/>
        <w:t>Declaration</w:t>
      </w:r>
      <w:bookmarkEnd w:id="19"/>
    </w:p>
    <w:tbl>
      <w:tblPr>
        <w:tblStyle w:val="TableGrid"/>
        <w:tblW w:w="9214" w:type="dxa"/>
        <w:jc w:val="left"/>
        <w:tblInd w:w="567" w:type="dxa"/>
        <w:tblCellMar>
          <w:top w:w="0" w:type="dxa"/>
          <w:left w:w="0" w:type="dxa"/>
          <w:bottom w:w="0" w:type="dxa"/>
          <w:right w:w="0" w:type="dxa"/>
        </w:tblCellMar>
        <w:tblLook w:firstRow="1" w:noVBand="1" w:lastRow="0" w:firstColumn="1" w:lastColumn="0" w:noHBand="0" w:val="04a0"/>
      </w:tblPr>
      <w:tblGrid>
        <w:gridCol w:w="1297"/>
        <w:gridCol w:w="7916"/>
      </w:tblGrid>
      <w:tr>
        <w:trPr/>
        <w:tc>
          <w:tcPr>
            <w:tcW w:w="9213" w:type="dxa"/>
            <w:gridSpan w:val="2"/>
            <w:tcBorders>
              <w:top w:val="nil"/>
              <w:left w:val="nil"/>
              <w:bottom w:val="nil"/>
            </w:tcBorders>
            <w:shd w:fill="auto" w:val="clear"/>
          </w:tcPr>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The Members of the Group in General Meeting Adopted this Constitution:</w:t>
            </w:r>
          </w:p>
        </w:tc>
      </w:tr>
      <w:tr>
        <w:trPr/>
        <w:tc>
          <w:tcPr>
            <w:tcW w:w="1297" w:type="dxa"/>
            <w:vMerge w:val="restart"/>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Times New Roman" w:hAnsi="Times New Roman" w:eastAsia="Times New Roman" w:cs="Times New Roman"/>
                <w:szCs w:val="20"/>
                <w:lang w:eastAsia="en-GB"/>
              </w:rPr>
            </w:pPr>
            <w:r>
              <w:rPr>
                <w:rFonts w:eastAsia="Times New Roman" w:cs="Tahoma" w:ascii="Calibri" w:hAnsi="Calibri" w:asciiTheme="minorHAnsi" w:hAnsiTheme="minorHAnsi"/>
                <w:sz w:val="23"/>
                <w:szCs w:val="23"/>
                <w:lang w:eastAsia="en-GB"/>
              </w:rPr>
              <w:t xml:space="preserve">Date </w:t>
            </w:r>
            <w:r>
              <w:rPr>
                <w:rFonts w:eastAsia="Times New Roman" w:cs="Tahoma" w:ascii="Calibri" w:hAnsi="Calibri" w:asciiTheme="minorHAnsi" w:hAnsiTheme="minorHAnsi"/>
                <w:sz w:val="23"/>
                <w:szCs w:val="23"/>
                <w:lang w:eastAsia="en-GB"/>
              </w:rPr>
              <w:t>18/10/2023</w:t>
            </w:r>
          </w:p>
        </w:tc>
      </w:tr>
      <w:tr>
        <w:trPr/>
        <w:tc>
          <w:tcPr>
            <w:tcW w:w="1297" w:type="dxa"/>
            <w:vMerge w:val="continue"/>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Times New Roman" w:hAnsi="Times New Roman" w:eastAsia="Times New Roman" w:cs="Times New Roman"/>
                <w:szCs w:val="20"/>
                <w:lang w:eastAsia="en-GB"/>
              </w:rPr>
            </w:pPr>
            <w:r>
              <w:rPr>
                <w:rFonts w:eastAsia="Times New Roman" w:cs="Tahoma" w:ascii="Calibri" w:hAnsi="Calibri" w:asciiTheme="minorHAnsi" w:hAnsiTheme="minorHAnsi"/>
                <w:sz w:val="23"/>
                <w:szCs w:val="23"/>
                <w:lang w:eastAsia="en-GB"/>
              </w:rPr>
              <w:t xml:space="preserve">President </w:t>
            </w:r>
            <w:r>
              <w:rPr>
                <w:rFonts w:eastAsia="Times New Roman" w:cs="Tahoma" w:ascii="Calibri" w:hAnsi="Calibri" w:asciiTheme="minorHAnsi" w:hAnsiTheme="minorHAnsi"/>
                <w:sz w:val="23"/>
                <w:szCs w:val="23"/>
                <w:lang w:eastAsia="en-GB"/>
              </w:rPr>
              <w:t>Michael Palladino</w:t>
            </w:r>
          </w:p>
        </w:tc>
      </w:tr>
      <w:tr>
        <w:trPr/>
        <w:tc>
          <w:tcPr>
            <w:tcW w:w="1297" w:type="dxa"/>
            <w:vMerge w:val="continue"/>
            <w:tcBorders>
              <w:left w:val="nil"/>
              <w:bottom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Times New Roman" w:hAnsi="Times New Roman" w:eastAsia="Times New Roman" w:cs="Times New Roman"/>
                <w:szCs w:val="20"/>
                <w:lang w:eastAsia="en-GB"/>
              </w:rPr>
            </w:pPr>
            <w:r>
              <w:rPr>
                <w:rFonts w:eastAsia="Times New Roman" w:cs="Tahoma" w:ascii="Calibri" w:hAnsi="Calibri" w:asciiTheme="minorHAnsi" w:hAnsiTheme="minorHAnsi"/>
                <w:sz w:val="23"/>
                <w:szCs w:val="23"/>
                <w:lang w:eastAsia="en-GB"/>
              </w:rPr>
              <w:t xml:space="preserve">Secretary </w:t>
            </w:r>
            <w:r>
              <w:rPr>
                <w:rFonts w:eastAsia="Times New Roman" w:cs="Tahoma" w:ascii="Calibri" w:hAnsi="Calibri" w:asciiTheme="minorHAnsi" w:hAnsiTheme="minorHAnsi"/>
                <w:sz w:val="23"/>
                <w:szCs w:val="23"/>
                <w:lang w:eastAsia="en-GB"/>
              </w:rPr>
              <w:t>Josh Midwood</w:t>
            </w:r>
          </w:p>
        </w:tc>
      </w:tr>
      <w:tr>
        <w:trPr/>
        <w:tc>
          <w:tcPr>
            <w:tcW w:w="9213" w:type="dxa"/>
            <w:gridSpan w:val="2"/>
            <w:tcBorders>
              <w:top w:val="nil"/>
              <w:left w:val="nil"/>
              <w:bottom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r>
      <w:tr>
        <w:trPr/>
        <w:tc>
          <w:tcPr>
            <w:tcW w:w="9213" w:type="dxa"/>
            <w:gridSpan w:val="2"/>
            <w:tcBorders>
              <w:top w:val="nil"/>
              <w:left w:val="nil"/>
              <w:bottom w:val="nil"/>
            </w:tcBorders>
            <w:shd w:fill="auto" w:val="clear"/>
          </w:tcPr>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The Students’ Union Approved this Constitution:</w:t>
            </w:r>
          </w:p>
        </w:tc>
      </w:tr>
      <w:tr>
        <w:trPr/>
        <w:tc>
          <w:tcPr>
            <w:tcW w:w="1297" w:type="dxa"/>
            <w:vMerge w:val="restart"/>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top w:val="nil"/>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Times New Roman" w:hAnsi="Times New Roman" w:eastAsia="Times New Roman" w:cs="Times New Roman"/>
                <w:szCs w:val="20"/>
                <w:lang w:eastAsia="en-GB"/>
              </w:rPr>
            </w:pPr>
            <w:r>
              <w:rPr>
                <w:rFonts w:eastAsia="Times New Roman" w:cs="Tahoma" w:ascii="Calibri" w:hAnsi="Calibri" w:asciiTheme="minorHAnsi" w:hAnsiTheme="minorHAnsi"/>
                <w:sz w:val="23"/>
                <w:szCs w:val="23"/>
                <w:lang w:eastAsia="en-GB"/>
              </w:rPr>
              <w:t xml:space="preserve">Date </w:t>
            </w:r>
          </w:p>
        </w:tc>
      </w:tr>
      <w:tr>
        <w:trPr/>
        <w:tc>
          <w:tcPr>
            <w:tcW w:w="1297" w:type="dxa"/>
            <w:vMerge w:val="continue"/>
            <w:tcBorders>
              <w:left w:val="nil"/>
              <w:bottom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tc>
        <w:tc>
          <w:tcPr>
            <w:tcW w:w="7916" w:type="dxa"/>
            <w:tcBorders>
              <w:left w:val="nil"/>
              <w:right w:val="nil"/>
            </w:tcBorders>
            <w:shd w:fill="auto" w:val="clear"/>
          </w:tcPr>
          <w:p>
            <w:pPr>
              <w:pStyle w:val="Normal"/>
              <w:spacing w:lineRule="auto" w:line="276" w:before="0" w:after="100"/>
              <w:rPr>
                <w:rFonts w:ascii="Calibri" w:hAnsi="Calibri" w:eastAsia="Times New Roman" w:cs="Tahoma" w:asciiTheme="minorHAnsi" w:hAnsiTheme="minorHAnsi"/>
                <w:sz w:val="23"/>
                <w:szCs w:val="23"/>
                <w:lang w:eastAsia="en-GB"/>
              </w:rPr>
            </w:pPr>
            <w:r>
              <w:rPr>
                <w:rFonts w:eastAsia="Times New Roman" w:cs="Tahoma" w:ascii="Calibri" w:hAnsi="Calibri"/>
                <w:sz w:val="23"/>
                <w:szCs w:val="23"/>
                <w:lang w:eastAsia="en-GB"/>
              </w:rPr>
            </w:r>
          </w:p>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Vice President Activities</w:t>
            </w:r>
          </w:p>
        </w:tc>
      </w:tr>
    </w:tbl>
    <w:p>
      <w:pPr>
        <w:pStyle w:val="Normal"/>
        <w:spacing w:lineRule="auto" w:line="276" w:before="0" w:after="100"/>
        <w:rPr>
          <w:rFonts w:ascii="Calibri" w:hAnsi="Calibri" w:asciiTheme="minorHAnsi" w:hAnsiTheme="minorHAnsi"/>
          <w:sz w:val="2"/>
          <w:szCs w:val="2"/>
        </w:rPr>
      </w:pPr>
      <w:r>
        <w:rPr>
          <w:rFonts w:asciiTheme="minorHAnsi" w:hAnsiTheme="minorHAnsi" w:ascii="Calibri" w:hAnsi="Calibri"/>
          <w:sz w:val="2"/>
          <w:szCs w:val="2"/>
        </w:rPr>
      </w:r>
    </w:p>
    <w:p>
      <w:pPr>
        <w:pStyle w:val="Normal"/>
        <w:spacing w:lineRule="auto" w:line="276" w:before="0" w:after="200"/>
        <w:rPr/>
      </w:pPr>
      <w:r>
        <w:rPr/>
        <mc:AlternateContent>
          <mc:Choice Requires="wps">
            <w:drawing>
              <wp:anchor behindDoc="0" distT="0" distB="0" distL="0" distR="0" simplePos="0" locked="0" layoutInCell="1" allowOverlap="1" relativeHeight="14" wp14:anchorId="64905B38">
                <wp:simplePos x="0" y="0"/>
                <wp:positionH relativeFrom="rightMargin">
                  <wp:posOffset>1664335</wp:posOffset>
                </wp:positionH>
                <wp:positionV relativeFrom="page">
                  <wp:align>top</wp:align>
                </wp:positionV>
                <wp:extent cx="270510" cy="270510"/>
                <wp:effectExtent l="6985" t="9525" r="8890" b="6350"/>
                <wp:wrapNone/>
                <wp:docPr id="4" name="Rectangle 3"/>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131.05pt;margin-top:0.75pt;width:21.2pt;height:21.2pt;mso-position-horizontal-relative:page;mso-position-vertical:top;mso-position-vertical-relative:page" wp14:anchorId="64905B38">
                <w10:wrap type="none"/>
                <v:fill o:detectmouseclick="t" type="solid" color2="black"/>
                <v:stroke color="black" weight="3240" joinstyle="miter" endcap="flat"/>
              </v:rect>
            </w:pict>
          </mc:Fallback>
        </mc:AlternateContent>
      </w:r>
    </w:p>
    <w:sectPr>
      <w:headerReference w:type="default" r:id="rId6"/>
      <w:footerReference w:type="default" r:id="rId7"/>
      <w:type w:val="nextPage"/>
      <w:pgSz w:w="11906" w:h="16838"/>
      <w:pgMar w:left="1080" w:right="1080" w:header="708" w:top="1440" w:footer="1853" w:bottom="19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eorg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513"/>
        <w:tab w:val="clear" w:pos="9026"/>
      </w:tabs>
      <w:jc w:val="center"/>
      <w:rPr/>
    </w:pPr>
    <w:r>
      <w:rPr>
        <w:rFonts w:cs="Tahoma" w:ascii="Calibri" w:hAnsi="Calibri" w:asciiTheme="minorHAnsi" w:hAnsiTheme="minorHAnsi"/>
        <w:szCs w:val="18"/>
      </w:rPr>
      <w:t xml:space="preserve">Page </w:t>
    </w:r>
    <w:r>
      <w:rPr>
        <w:rFonts w:cs="Tahoma" w:ascii="Calibri" w:hAnsi="Calibri" w:asciiTheme="minorHAnsi" w:hAnsiTheme="minorHAnsi"/>
        <w:b/>
        <w:szCs w:val="18"/>
      </w:rPr>
      <w:fldChar w:fldCharType="begin"/>
    </w:r>
    <w:r>
      <w:rPr>
        <w:b/>
        <w:szCs w:val="18"/>
        <w:rFonts w:cs="Tahoma" w:ascii="Calibri" w:hAnsi="Calibri"/>
      </w:rPr>
      <w:instrText> PAGE \* ARABIC </w:instrText>
    </w:r>
    <w:r>
      <w:rPr>
        <w:b/>
        <w:szCs w:val="18"/>
        <w:rFonts w:cs="Tahoma" w:ascii="Calibri" w:hAnsi="Calibri"/>
      </w:rPr>
      <w:fldChar w:fldCharType="separate"/>
    </w:r>
    <w:r>
      <w:rPr>
        <w:b/>
        <w:szCs w:val="18"/>
        <w:rFonts w:cs="Tahoma" w:ascii="Calibri" w:hAnsi="Calibri"/>
      </w:rPr>
      <w:t>11</w:t>
    </w:r>
    <w:r>
      <w:rPr>
        <w:b/>
        <w:szCs w:val="18"/>
        <w:rFonts w:cs="Tahoma" w:ascii="Calibri" w:hAnsi="Calibri"/>
      </w:rPr>
      <w:fldChar w:fldCharType="end"/>
    </w:r>
    <w:r>
      <w:rPr>
        <w:rFonts w:cs="Tahoma" w:ascii="Calibri" w:hAnsi="Calibri" w:asciiTheme="minorHAnsi" w:hAnsiTheme="minorHAnsi"/>
        <w:szCs w:val="18"/>
      </w:rPr>
      <w:t xml:space="preserve"> of </w:t>
    </w:r>
    <w:r>
      <w:rPr>
        <w:rFonts w:cs="Tahoma" w:ascii="Calibri" w:hAnsi="Calibri" w:asciiTheme="minorHAnsi" w:hAnsiTheme="minorHAnsi"/>
        <w:b/>
        <w:szCs w:val="18"/>
      </w:rPr>
      <w:fldChar w:fldCharType="begin"/>
    </w:r>
    <w:r>
      <w:rPr>
        <w:b/>
        <w:szCs w:val="18"/>
        <w:rFonts w:cs="Tahoma" w:ascii="Calibri" w:hAnsi="Calibri"/>
      </w:rPr>
      <w:instrText> NUMPAGES </w:instrText>
    </w:r>
    <w:r>
      <w:rPr>
        <w:b/>
        <w:szCs w:val="18"/>
        <w:rFonts w:cs="Tahoma" w:ascii="Calibri" w:hAnsi="Calibri"/>
      </w:rPr>
      <w:fldChar w:fldCharType="separate"/>
    </w:r>
    <w:r>
      <w:rPr>
        <w:b/>
        <w:szCs w:val="18"/>
        <w:rFonts w:cs="Tahoma" w:ascii="Calibri" w:hAnsi="Calibri"/>
      </w:rPr>
      <w:t>11</w:t>
    </w:r>
    <w:r>
      <w:rPr>
        <w:b/>
        <w:szCs w:val="18"/>
        <w:rFonts w:cs="Tahoma"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12">
          <wp:simplePos x="0" y="0"/>
          <wp:positionH relativeFrom="column">
            <wp:posOffset>-691515</wp:posOffset>
          </wp:positionH>
          <wp:positionV relativeFrom="paragraph">
            <wp:posOffset>-461645</wp:posOffset>
          </wp:positionV>
          <wp:extent cx="7560310" cy="10692130"/>
          <wp:effectExtent l="0" t="0" r="0" b="0"/>
          <wp:wrapNone/>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79ae"/>
    <w:pPr>
      <w:widowControl/>
      <w:bidi w:val="0"/>
      <w:spacing w:lineRule="auto" w:line="240"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link w:val="Heading1Char"/>
    <w:qFormat/>
    <w:rsid w:val="004e4e83"/>
    <w:pPr>
      <w:keepNext w:val="true"/>
      <w:keepLines/>
      <w:spacing w:lineRule="auto" w:line="276" w:before="0" w:after="100"/>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4550a8"/>
    <w:rPr>
      <w:rFonts w:ascii="Times New Roman" w:hAnsi="Times New Roman"/>
      <w:sz w:val="20"/>
      <w:szCs w:val="20"/>
    </w:rPr>
  </w:style>
  <w:style w:type="character" w:styleId="Heading1Char" w:customStyle="1">
    <w:name w:val="Heading 1 Char"/>
    <w:basedOn w:val="DefaultParagraphFont"/>
    <w:link w:val="Heading1"/>
    <w:qFormat/>
    <w:rsid w:val="004e4e83"/>
    <w:rPr>
      <w:rFonts w:ascii="Georgia" w:hAnsi="Georgia" w:eastAsia="Times New Roman" w:cs="Tahoma"/>
      <w:b/>
      <w:bCs/>
      <w:sz w:val="23"/>
      <w:szCs w:val="23"/>
    </w:rPr>
  </w:style>
  <w:style w:type="character" w:styleId="LeadinEmphasis" w:customStyle="1">
    <w:name w:val="Lead-in Emphasis"/>
    <w:qFormat/>
    <w:rsid w:val="00c479ae"/>
    <w:rPr>
      <w:rFonts w:ascii="Arial" w:hAnsi="Arial"/>
      <w:b/>
      <w:spacing w:val="-4"/>
    </w:rPr>
  </w:style>
  <w:style w:type="character" w:styleId="InternetLink">
    <w:name w:val="Internet Link"/>
    <w:basedOn w:val="DefaultParagraphFont"/>
    <w:uiPriority w:val="99"/>
    <w:rsid w:val="00c479ae"/>
    <w:rPr>
      <w:color w:val="0000FF"/>
      <w:u w:val="single"/>
    </w:rPr>
  </w:style>
  <w:style w:type="character" w:styleId="HeaderChar" w:customStyle="1">
    <w:name w:val="Header Char"/>
    <w:basedOn w:val="DefaultParagraphFont"/>
    <w:link w:val="Header"/>
    <w:uiPriority w:val="99"/>
    <w:qFormat/>
    <w:rsid w:val="00c479ae"/>
    <w:rPr>
      <w:rFonts w:ascii="Times New Roman" w:hAnsi="Times New Roman" w:eastAsia="Times New Roman" w:cs="Times New Roman"/>
      <w:sz w:val="20"/>
      <w:szCs w:val="20"/>
    </w:rPr>
  </w:style>
  <w:style w:type="character" w:styleId="FooterChar" w:customStyle="1">
    <w:name w:val="Footer Char"/>
    <w:basedOn w:val="DefaultParagraphFont"/>
    <w:link w:val="Footer"/>
    <w:uiPriority w:val="99"/>
    <w:qFormat/>
    <w:rsid w:val="00c479ae"/>
    <w:rPr>
      <w:rFonts w:ascii="Times New Roman" w:hAnsi="Times New Roman" w:eastAsia="Times New Roman" w:cs="Times New Roman"/>
      <w:sz w:val="20"/>
      <w:szCs w:val="20"/>
    </w:rPr>
  </w:style>
  <w:style w:type="character" w:styleId="Annotationreference">
    <w:name w:val="annotation reference"/>
    <w:basedOn w:val="DefaultParagraphFont"/>
    <w:uiPriority w:val="99"/>
    <w:semiHidden/>
    <w:unhideWhenUsed/>
    <w:qFormat/>
    <w:rsid w:val="00b70a74"/>
    <w:rPr>
      <w:sz w:val="16"/>
      <w:szCs w:val="16"/>
    </w:rPr>
  </w:style>
  <w:style w:type="character" w:styleId="CommentTextChar" w:customStyle="1">
    <w:name w:val="Comment Text Char"/>
    <w:basedOn w:val="DefaultParagraphFont"/>
    <w:link w:val="CommentText"/>
    <w:uiPriority w:val="99"/>
    <w:semiHidden/>
    <w:qFormat/>
    <w:rsid w:val="00b70a74"/>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b70a74"/>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b70a74"/>
    <w:rPr>
      <w:rFonts w:ascii="Tahoma" w:hAnsi="Tahoma" w:eastAsia="Times New Roman"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Tahoma" w:asciiTheme="minorHAnsi" w:hAnsiTheme="minorHAnsi"/>
      <w:sz w:val="22"/>
      <w:szCs w:val="28"/>
    </w:rPr>
  </w:style>
  <w:style w:type="character" w:styleId="ListLabel5">
    <w:name w:val="ListLabel 5"/>
    <w:qFormat/>
    <w:rPr>
      <w:rFonts w:ascii="Calibri" w:hAnsi="Calibri" w:cs="Tahoma" w:asciiTheme="minorHAnsi" w:hAnsiTheme="minorHAnsi"/>
      <w:sz w:val="23"/>
      <w:szCs w:val="23"/>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link w:val="FootnoteTextChar"/>
    <w:uiPriority w:val="99"/>
    <w:semiHidden/>
    <w:unhideWhenUsed/>
    <w:rsid w:val="004550a8"/>
    <w:pPr>
      <w:jc w:val="both"/>
    </w:pPr>
    <w:rPr/>
  </w:style>
  <w:style w:type="paragraph" w:styleId="ListParagraph">
    <w:name w:val="List Paragraph"/>
    <w:basedOn w:val="Normal"/>
    <w:qFormat/>
    <w:rsid w:val="00c479ae"/>
    <w:pPr>
      <w:spacing w:before="0" w:after="0"/>
      <w:ind w:left="720" w:hanging="0"/>
      <w:contextualSpacing/>
    </w:pPr>
    <w:rPr/>
  </w:style>
  <w:style w:type="paragraph" w:styleId="Contents1">
    <w:name w:val="TOC 1"/>
    <w:basedOn w:val="Normal"/>
    <w:next w:val="Normal"/>
    <w:uiPriority w:val="39"/>
    <w:rsid w:val="00c479ae"/>
    <w:pPr>
      <w:tabs>
        <w:tab w:val="clear" w:pos="720"/>
        <w:tab w:val="left" w:pos="567" w:leader="none"/>
        <w:tab w:val="right" w:pos="9736" w:leader="dot"/>
      </w:tabs>
      <w:spacing w:lineRule="auto" w:line="276" w:before="0" w:after="100"/>
    </w:pPr>
    <w:rPr>
      <w:rFonts w:ascii="Tahoma" w:hAnsi="Tahoma"/>
      <w:sz w:val="23"/>
      <w:szCs w:val="22"/>
      <w:lang w:val="en-US" w:eastAsia="ja-JP"/>
    </w:rPr>
  </w:style>
  <w:style w:type="paragraph" w:styleId="Header">
    <w:name w:val="Header"/>
    <w:basedOn w:val="Normal"/>
    <w:link w:val="HeaderChar"/>
    <w:uiPriority w:val="99"/>
    <w:unhideWhenUsed/>
    <w:rsid w:val="00c479ae"/>
    <w:pPr>
      <w:tabs>
        <w:tab w:val="clear" w:pos="720"/>
        <w:tab w:val="center" w:pos="4513" w:leader="none"/>
        <w:tab w:val="right" w:pos="9026" w:leader="none"/>
      </w:tabs>
    </w:pPr>
    <w:rPr/>
  </w:style>
  <w:style w:type="paragraph" w:styleId="Footer">
    <w:name w:val="Footer"/>
    <w:basedOn w:val="Normal"/>
    <w:link w:val="FooterChar"/>
    <w:unhideWhenUsed/>
    <w:rsid w:val="00c479ae"/>
    <w:pPr>
      <w:tabs>
        <w:tab w:val="clear" w:pos="720"/>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b70a74"/>
    <w:pPr/>
    <w:rPr/>
  </w:style>
  <w:style w:type="paragraph" w:styleId="Annotationsubject">
    <w:name w:val="annotation subject"/>
    <w:basedOn w:val="Annotationtext"/>
    <w:next w:val="Annotationtext"/>
    <w:link w:val="CommentSubjectChar"/>
    <w:uiPriority w:val="99"/>
    <w:semiHidden/>
    <w:unhideWhenUsed/>
    <w:qFormat/>
    <w:rsid w:val="00b70a74"/>
    <w:pPr/>
    <w:rPr>
      <w:b/>
      <w:bCs/>
    </w:rPr>
  </w:style>
  <w:style w:type="paragraph" w:styleId="BalloonText">
    <w:name w:val="Balloon Text"/>
    <w:basedOn w:val="Normal"/>
    <w:link w:val="BalloonTextChar"/>
    <w:uiPriority w:val="99"/>
    <w:semiHidden/>
    <w:unhideWhenUsed/>
    <w:qFormat/>
    <w:rsid w:val="00b70a7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479ae"/>
    <w:rPr>
      <w:lang w:eastAsia="en-GB"/>
      <w:sz w:val="20"/>
      <w:szCs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mocracy@susu.org" TargetMode="External"/><Relationship Id="rId3" Type="http://schemas.openxmlformats.org/officeDocument/2006/relationships/hyperlink" Target="mailto:democracy@susu.org" TargetMode="External"/><Relationship Id="rId4" Type="http://schemas.openxmlformats.org/officeDocument/2006/relationships/hyperlink" Target="http://www.susu.org/" TargetMode="External"/><Relationship Id="rId5" Type="http://schemas.openxmlformats.org/officeDocument/2006/relationships/hyperlink" Target="http://www.susu.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Application>Neat_Office/6.2.8.2$Windows_x86 LibreOffice_project/</Application>
  <Pages>11</Pages>
  <Words>3291</Words>
  <Characters>16369</Characters>
  <CharactersWithSpaces>19564</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2019-07-16T09:14:00Z</dcterms:created>
  <dc:creator>Marcus R. Burton</dc:creator>
  <dc:description/>
  <dc:language>en-GB</dc:language>
  <cp:lastModifiedBy/>
  <cp:lastPrinted>2013-02-21T14:59:00Z</cp:lastPrinted>
  <dcterms:modified xsi:type="dcterms:W3CDTF">2023-10-18T17:35:17Z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