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57EFAAB7"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6C19A4">
        <w:t>Southampton University Mathematics Society</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7EA693FE" w:rsidR="002A514A" w:rsidRPr="00D30A28" w:rsidRDefault="00011EBA" w:rsidP="004D7983">
      <w:pPr>
        <w:pStyle w:val="Level2"/>
        <w:numPr>
          <w:ilvl w:val="0"/>
          <w:numId w:val="0"/>
        </w:numPr>
        <w:ind w:left="567"/>
      </w:pPr>
      <w:r w:rsidRPr="00D30A28">
        <w:t xml:space="preserve">The association’s name is </w:t>
      </w:r>
      <w:permStart w:id="1455182261" w:edGrp="everyone"/>
      <w:r w:rsidR="007C0ACF">
        <w:t>Southampton University Mathematics Society</w:t>
      </w:r>
      <w:r w:rsidRPr="00D30A28">
        <w:t xml:space="preserve"> </w:t>
      </w:r>
      <w:permEnd w:id="1455182261"/>
      <w:r w:rsidRPr="00D30A28">
        <w:t xml:space="preserve">also to be known as </w:t>
      </w:r>
      <w:permStart w:id="615138445" w:edGrp="everyone"/>
      <w:r w:rsidR="007C0ACF">
        <w:t>SUMS</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1005859E" w:rsidR="002A514A" w:rsidRPr="00D30A28" w:rsidRDefault="00011EBA" w:rsidP="004D7983">
      <w:pPr>
        <w:pStyle w:val="Level3"/>
      </w:pPr>
      <w:r w:rsidRPr="00D30A28">
        <w:t xml:space="preserve">Objective one: </w:t>
      </w:r>
      <w:permStart w:id="1930573119" w:edGrp="everyone"/>
      <w:r w:rsidR="003A61D9">
        <w:t>To be</w:t>
      </w:r>
      <w:r w:rsidR="009470B8">
        <w:t xml:space="preserve">fittingly represent </w:t>
      </w:r>
      <w:r w:rsidR="00E474BF">
        <w:t>University of Southampton</w:t>
      </w:r>
      <w:r w:rsidR="002E6E39">
        <w:t xml:space="preserve"> Mathematics students</w:t>
      </w:r>
      <w:r w:rsidR="00B5722B">
        <w:t>, including all undergraduate students and postgraduate students within the research groups of the School of Mathematical Sciences, all students taking MATH coded modules</w:t>
      </w:r>
      <w:r w:rsidR="00F42DCF">
        <w:t>, and all members of the SUSU with an interest in mathematics.</w:t>
      </w:r>
      <w:r w:rsidR="00E474BF">
        <w:t xml:space="preserve"> </w:t>
      </w:r>
      <w:permEnd w:id="1930573119"/>
    </w:p>
    <w:p w14:paraId="731F279B" w14:textId="121C7B6E" w:rsidR="002A514A" w:rsidRPr="00D30A28" w:rsidRDefault="00011EBA" w:rsidP="004D7983">
      <w:pPr>
        <w:pStyle w:val="Level3"/>
      </w:pPr>
      <w:r w:rsidRPr="00D30A28">
        <w:lastRenderedPageBreak/>
        <w:t xml:space="preserve">Objective two: </w:t>
      </w:r>
      <w:permStart w:id="1180311044" w:edGrp="everyone"/>
      <w:r w:rsidR="00F42DCF">
        <w:t xml:space="preserve">To provide professional and social opportunities for our members, and to provide a welcoming, safe, and inclusive community for those interested in mathematics </w:t>
      </w:r>
      <w:permEnd w:id="1180311044"/>
    </w:p>
    <w:p w14:paraId="0D3F6477" w14:textId="052DCF97" w:rsidR="002A514A" w:rsidRPr="00D30A28" w:rsidRDefault="00011EBA" w:rsidP="004D7983">
      <w:pPr>
        <w:pStyle w:val="Level3"/>
      </w:pPr>
      <w:r w:rsidRPr="00D30A28">
        <w:t xml:space="preserve">Objective three: </w:t>
      </w:r>
      <w:permStart w:id="420756954" w:edGrp="everyone"/>
      <w:r w:rsidR="00F42DCF">
        <w:t xml:space="preserve">To promote the enjoyment of mathematics, and links within mathematics to other disciplines within the wider University community </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lastRenderedPageBreak/>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lastRenderedPageBreak/>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lastRenderedPageBreak/>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72B8BB66"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r w:rsidR="001F7B5F">
        <w:br/>
      </w:r>
      <w:r w:rsidR="00F55EC1">
        <w:t xml:space="preserve">The </w:t>
      </w:r>
      <w:r w:rsidR="00F55EC1" w:rsidRPr="00F55EC1">
        <w:t xml:space="preserve">President </w:t>
      </w:r>
      <w:r w:rsidR="00F55EC1">
        <w:t>will</w:t>
      </w:r>
      <w:r w:rsidR="00F55EC1" w:rsidRPr="00F55EC1">
        <w:t xml:space="preserve"> ensure the members of the Committee are held accountable to their duties to the Group’s Members, accountable to their duties to the other members of the Committee, and accountable to their duties to the Students’ </w:t>
      </w:r>
      <w:r w:rsidR="00F55EC1" w:rsidRPr="00F55EC1">
        <w:lastRenderedPageBreak/>
        <w:t>Union</w:t>
      </w:r>
      <w:r w:rsidR="0021475B">
        <w:br/>
      </w:r>
      <w:r w:rsidR="0021475B" w:rsidRPr="0021475B">
        <w:t xml:space="preserve">The President will act as the public face of the Group and </w:t>
      </w:r>
      <w:r w:rsidR="0021475B">
        <w:t>will</w:t>
      </w:r>
      <w:r w:rsidR="0021475B" w:rsidRPr="0021475B">
        <w:t xml:space="preserve"> represent the Group to all external interests, including current or potential society sponsors. They </w:t>
      </w:r>
      <w:r w:rsidR="0021475B">
        <w:t>will</w:t>
      </w:r>
      <w:r w:rsidR="0021475B" w:rsidRPr="0021475B">
        <w:t xml:space="preserve"> always do so through the societies </w:t>
      </w:r>
      <w:hyperlink r:id="rId13">
        <w:r w:rsidR="0021475B" w:rsidRPr="0021475B">
          <w:rPr>
            <w:rStyle w:val="Hyperlink"/>
          </w:rPr>
          <w:t>sums@soton.ac.uk</w:t>
        </w:r>
      </w:hyperlink>
      <w:r w:rsidR="0021475B" w:rsidRPr="0021475B">
        <w:t xml:space="preserve"> email address, the </w:t>
      </w:r>
      <w:hyperlink r:id="rId14">
        <w:r w:rsidR="0021475B" w:rsidRPr="0021475B">
          <w:rPr>
            <w:rStyle w:val="Hyperlink"/>
          </w:rPr>
          <w:t>sotonunimathssoc@gmail.com</w:t>
        </w:r>
      </w:hyperlink>
      <w:r w:rsidR="0021475B" w:rsidRPr="0021475B">
        <w:t xml:space="preserve"> email address, the @sumssoton Instagram account, or any group chats created for the Members</w:t>
      </w:r>
      <w:permEnd w:id="724840084"/>
    </w:p>
    <w:p w14:paraId="38B39E07" w14:textId="7C7DAD96"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2AF3DD75" w14:textId="1E92D5D9"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p>
    <w:p w14:paraId="41000637" w14:textId="7A4D033B" w:rsidR="002A514A" w:rsidRPr="009A0868" w:rsidRDefault="00011EBA" w:rsidP="004D7983">
      <w:pPr>
        <w:pStyle w:val="Level3"/>
      </w:pPr>
      <w:r w:rsidRPr="009A0868">
        <w:t>Social Secretar</w:t>
      </w:r>
      <w:r w:rsidR="007F7434">
        <w:t>y</w:t>
      </w:r>
      <w:r w:rsidR="00316D77">
        <w:br/>
        <w:t xml:space="preserve">There </w:t>
      </w:r>
      <w:r w:rsidR="002C4D6F">
        <w:t>will</w:t>
      </w:r>
      <w:r w:rsidR="00316D77">
        <w:t xml:space="preserve"> be two Social Secretaries of the society</w:t>
      </w:r>
      <w:r w:rsidR="00BC500C">
        <w:t xml:space="preserve">. </w:t>
      </w:r>
      <w:r w:rsidRPr="009A0868">
        <w:br/>
        <w:t>The Social Secretar</w:t>
      </w:r>
      <w:r w:rsidR="00316D77">
        <w:t>ies</w:t>
      </w:r>
      <w:r w:rsidRPr="009A0868">
        <w:t xml:space="preserve"> will provide social and cultural pursuits for the Group’s Members on a smaller scale, such as nights out</w:t>
      </w:r>
      <w:r w:rsidR="00BC500C">
        <w:t xml:space="preserve">. </w:t>
      </w:r>
      <w:r w:rsidRPr="009A0868">
        <w:br/>
        <w:t xml:space="preserve">They will also support, and be supported by, the </w:t>
      </w:r>
      <w:r w:rsidR="00545991">
        <w:t>President and Academic Officer in the provision of large scale academic and careers events where necessary</w:t>
      </w:r>
      <w:r w:rsidRPr="009A0868">
        <w:t>.</w:t>
      </w:r>
    </w:p>
    <w:p w14:paraId="38FB405A" w14:textId="1F77DC30" w:rsidR="002A514A" w:rsidRPr="009A0868" w:rsidRDefault="00011EBA" w:rsidP="004D7983">
      <w:pPr>
        <w:pStyle w:val="Level3"/>
      </w:pPr>
      <w:r w:rsidRPr="009A0868">
        <w:t>Secretary.</w:t>
      </w:r>
      <w:r w:rsidRPr="009A0868">
        <w:br/>
        <w:t>The Secretary will oversee the management of the Group, take minutes at General Meetings and Meetings of the Committee,</w:t>
      </w:r>
      <w:r w:rsidR="067322CB" w:rsidRPr="009A0868">
        <w:t xml:space="preserve"> and complete other administrative tasks as appropriate for the Group.</w:t>
      </w:r>
      <w:r w:rsidR="0051755C">
        <w:br/>
        <w:t xml:space="preserve">The Secretary will </w:t>
      </w:r>
      <w:r w:rsidR="00C24FBA">
        <w:t xml:space="preserve">also </w:t>
      </w:r>
      <w:r w:rsidR="0051755C">
        <w:t xml:space="preserve">monitor the society email addresses, </w:t>
      </w:r>
      <w:hyperlink r:id="rId15" w:history="1">
        <w:r w:rsidR="0051755C" w:rsidRPr="00BC1366">
          <w:rPr>
            <w:rStyle w:val="Hyperlink"/>
          </w:rPr>
          <w:t>sums@soton.ac.uk</w:t>
        </w:r>
      </w:hyperlink>
      <w:r w:rsidR="0051755C">
        <w:t xml:space="preserve"> and </w:t>
      </w:r>
      <w:hyperlink r:id="rId16" w:history="1">
        <w:r w:rsidR="00C24FBA" w:rsidRPr="00BC1366">
          <w:rPr>
            <w:rStyle w:val="Hyperlink"/>
          </w:rPr>
          <w:t>sotonunimathssoc@gmail.com</w:t>
        </w:r>
      </w:hyperlink>
      <w:r w:rsidR="00C24FBA">
        <w:t xml:space="preserve">. </w:t>
      </w:r>
    </w:p>
    <w:p w14:paraId="19E08468" w14:textId="350F2EBB" w:rsidR="002A514A" w:rsidRPr="009A0868" w:rsidRDefault="004E4FBC" w:rsidP="00D75AC3">
      <w:pPr>
        <w:pStyle w:val="Level3"/>
      </w:pPr>
      <w:r>
        <w:t>Academic</w:t>
      </w:r>
      <w:r w:rsidR="00011EBA" w:rsidRPr="009A0868">
        <w:t xml:space="preserve"> Officer.</w:t>
      </w:r>
      <w:r w:rsidR="00011EBA" w:rsidRPr="009A0868">
        <w:br/>
      </w:r>
      <w:r w:rsidR="002C4D6F">
        <w:t>The Academic Officer will, either in conjunction with the School of Mathematical Sciences, or otherwise, provide academic pursuits for the Group's members on either or large scales at their discretion</w:t>
      </w:r>
      <w:r w:rsidR="00011EBA" w:rsidRPr="009A0868">
        <w:t>.</w:t>
      </w:r>
      <w:r w:rsidR="002C4D6F">
        <w:br/>
      </w:r>
      <w:r w:rsidR="00545991">
        <w:lastRenderedPageBreak/>
        <w:t>They will also support, and be supported by, the Social Secretaries in the promotion and maintenance of the overall Group ethos.</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lastRenderedPageBreak/>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lastRenderedPageBreak/>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lastRenderedPageBreak/>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lastRenderedPageBreak/>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7"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8"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9"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lastRenderedPageBreak/>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lastRenderedPageBreak/>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20">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lastRenderedPageBreak/>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432D5821"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2D7DE1">
              <w:t>07</w:t>
            </w:r>
            <w:r w:rsidRPr="005B225D">
              <w:rPr>
                <w:rFonts w:ascii="Aptos" w:hAnsi="Aptos"/>
                <w:b/>
                <w:sz w:val="23"/>
                <w:szCs w:val="23"/>
                <w:highlight w:val="yellow"/>
              </w:rPr>
              <w:t>/</w:t>
            </w:r>
            <w:r w:rsidR="002D7DE1">
              <w:rPr>
                <w:highlight w:val="yellow"/>
              </w:rPr>
              <w:t>07</w:t>
            </w:r>
            <w:r w:rsidRPr="005B225D">
              <w:rPr>
                <w:rFonts w:ascii="Aptos" w:hAnsi="Aptos"/>
                <w:b/>
                <w:sz w:val="23"/>
                <w:szCs w:val="23"/>
                <w:highlight w:val="yellow"/>
              </w:rPr>
              <w:t>/20</w:t>
            </w:r>
            <w:r w:rsidR="002D7DE1">
              <w:t>26</w:t>
            </w:r>
            <w:permEnd w:id="1725113331"/>
          </w:p>
        </w:tc>
        <w:tc>
          <w:tcPr>
            <w:tcW w:w="7189" w:type="dxa"/>
          </w:tcPr>
          <w:p w14:paraId="7819D716" w14:textId="091936F9"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proofErr w:type="spellStart"/>
            <w:r w:rsidR="002D7DE1">
              <w:t>Shubhangee</w:t>
            </w:r>
            <w:proofErr w:type="spellEnd"/>
            <w:r w:rsidR="002D7DE1">
              <w:t xml:space="preserve"> Das</w:t>
            </w:r>
            <w:permEnd w:id="1862825894"/>
          </w:p>
          <w:p w14:paraId="125D6626" w14:textId="4CF221B5"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CA7EF1">
              <w:t>Hannah George</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21"/>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376B9E" w14:textId="77777777" w:rsidR="009E32D9" w:rsidRDefault="009E32D9">
      <w:r>
        <w:separator/>
      </w:r>
    </w:p>
  </w:endnote>
  <w:endnote w:type="continuationSeparator" w:id="0">
    <w:p w14:paraId="57ADDD70" w14:textId="77777777" w:rsidR="009E32D9" w:rsidRDefault="009E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D94E6B" w14:textId="77777777" w:rsidR="009E32D9" w:rsidRDefault="009E32D9">
      <w:r>
        <w:separator/>
      </w:r>
    </w:p>
  </w:footnote>
  <w:footnote w:type="continuationSeparator" w:id="0">
    <w:p w14:paraId="32A5ACF2" w14:textId="77777777" w:rsidR="009E32D9" w:rsidRDefault="009E3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proofState w:spelling="clean" w:grammar="clean"/>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5B1D"/>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51179"/>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1F7B5F"/>
    <w:rsid w:val="00201252"/>
    <w:rsid w:val="002043D9"/>
    <w:rsid w:val="00210A83"/>
    <w:rsid w:val="00213BAC"/>
    <w:rsid w:val="00213C99"/>
    <w:rsid w:val="0021475B"/>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4D6F"/>
    <w:rsid w:val="002C6C8D"/>
    <w:rsid w:val="002D3C72"/>
    <w:rsid w:val="002D6260"/>
    <w:rsid w:val="002D62D6"/>
    <w:rsid w:val="002D7DE1"/>
    <w:rsid w:val="002E6E39"/>
    <w:rsid w:val="002F01AF"/>
    <w:rsid w:val="003056BE"/>
    <w:rsid w:val="0031546D"/>
    <w:rsid w:val="00316D77"/>
    <w:rsid w:val="0033091D"/>
    <w:rsid w:val="00331F13"/>
    <w:rsid w:val="00337A3A"/>
    <w:rsid w:val="003454B2"/>
    <w:rsid w:val="00346011"/>
    <w:rsid w:val="00350C6D"/>
    <w:rsid w:val="00357A54"/>
    <w:rsid w:val="00370ECC"/>
    <w:rsid w:val="003721AD"/>
    <w:rsid w:val="00374CF3"/>
    <w:rsid w:val="00391B7D"/>
    <w:rsid w:val="003A61D9"/>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1591"/>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E4FBC"/>
    <w:rsid w:val="004E7E36"/>
    <w:rsid w:val="004F270C"/>
    <w:rsid w:val="004F33DF"/>
    <w:rsid w:val="004F4A6D"/>
    <w:rsid w:val="0050186F"/>
    <w:rsid w:val="005038E2"/>
    <w:rsid w:val="005115EC"/>
    <w:rsid w:val="00512A5B"/>
    <w:rsid w:val="0051755C"/>
    <w:rsid w:val="005233B6"/>
    <w:rsid w:val="005270C1"/>
    <w:rsid w:val="00527406"/>
    <w:rsid w:val="00531CBB"/>
    <w:rsid w:val="00545991"/>
    <w:rsid w:val="005515CF"/>
    <w:rsid w:val="00571600"/>
    <w:rsid w:val="005731B5"/>
    <w:rsid w:val="005736C6"/>
    <w:rsid w:val="005841FD"/>
    <w:rsid w:val="00593CFB"/>
    <w:rsid w:val="00596084"/>
    <w:rsid w:val="005A23E7"/>
    <w:rsid w:val="005A2485"/>
    <w:rsid w:val="005B108A"/>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19A4"/>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0ACF"/>
    <w:rsid w:val="007C6316"/>
    <w:rsid w:val="007D65D3"/>
    <w:rsid w:val="007E2498"/>
    <w:rsid w:val="007E4C20"/>
    <w:rsid w:val="007E7999"/>
    <w:rsid w:val="007F4B0B"/>
    <w:rsid w:val="007F649B"/>
    <w:rsid w:val="007F7434"/>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4503"/>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0B8"/>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D3E4E"/>
    <w:rsid w:val="009E32D9"/>
    <w:rsid w:val="009E4F59"/>
    <w:rsid w:val="009F2D90"/>
    <w:rsid w:val="009F6D6F"/>
    <w:rsid w:val="00A01174"/>
    <w:rsid w:val="00A01D02"/>
    <w:rsid w:val="00A179AB"/>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4EF8"/>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5722B"/>
    <w:rsid w:val="00B70E4D"/>
    <w:rsid w:val="00B7E754"/>
    <w:rsid w:val="00B8534F"/>
    <w:rsid w:val="00B95779"/>
    <w:rsid w:val="00B96798"/>
    <w:rsid w:val="00B97CC8"/>
    <w:rsid w:val="00BA53C6"/>
    <w:rsid w:val="00BA7856"/>
    <w:rsid w:val="00BB2C9A"/>
    <w:rsid w:val="00BB5B7D"/>
    <w:rsid w:val="00BB78E6"/>
    <w:rsid w:val="00BC2740"/>
    <w:rsid w:val="00BC2CDE"/>
    <w:rsid w:val="00BC500C"/>
    <w:rsid w:val="00BD0E2D"/>
    <w:rsid w:val="00C11B84"/>
    <w:rsid w:val="00C15C1C"/>
    <w:rsid w:val="00C16C6E"/>
    <w:rsid w:val="00C2213F"/>
    <w:rsid w:val="00C2315B"/>
    <w:rsid w:val="00C24FBA"/>
    <w:rsid w:val="00C31D40"/>
    <w:rsid w:val="00C51F33"/>
    <w:rsid w:val="00C57851"/>
    <w:rsid w:val="00C71C77"/>
    <w:rsid w:val="00C766DC"/>
    <w:rsid w:val="00C767F5"/>
    <w:rsid w:val="00C8031C"/>
    <w:rsid w:val="00C828E1"/>
    <w:rsid w:val="00C90247"/>
    <w:rsid w:val="00C96AC0"/>
    <w:rsid w:val="00CA26F6"/>
    <w:rsid w:val="00CA67E3"/>
    <w:rsid w:val="00CA7EF1"/>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474BF"/>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2DCF"/>
    <w:rsid w:val="00F464DC"/>
    <w:rsid w:val="00F4799B"/>
    <w:rsid w:val="00F55EC1"/>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ms@soton.ac.uk" TargetMode="External"/><Relationship Id="rId18" Type="http://schemas.openxmlformats.org/officeDocument/2006/relationships/hyperlink" Target="https://sotonac.sharepoint.com/teams/SUSU-groups/SitePages/Disciplinary-Action-and-Processes.aspx?web=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hyperlink" Target="https://sotonac.sharepoint.com/teams/SUSU-groups/SitePages/Disciplinary-Action-and-Processes.aspx?web=1" TargetMode="External"/><Relationship Id="rId2" Type="http://schemas.openxmlformats.org/officeDocument/2006/relationships/customXml" Target="../customXml/item2.xml"/><Relationship Id="rId16" Type="http://schemas.openxmlformats.org/officeDocument/2006/relationships/hyperlink" Target="mailto:sotonunimathssoc@gmail.com" TargetMode="External"/><Relationship Id="rId20"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mailto:sums@soton.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otonac.sharepoint.com/teams/SUSU-groups/SitePages/Disciplinary-Action-and-Processe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tonunimathssoc@gmail.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3.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4.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3739</Words>
  <Characters>21313</Characters>
  <Application>Microsoft Office Word</Application>
  <DocSecurity>8</DocSecurity>
  <Lines>177</Lines>
  <Paragraphs>50</Paragraphs>
  <ScaleCrop>false</ScaleCrop>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Shub Das (sd2g25)</cp:lastModifiedBy>
  <cp:revision>2</cp:revision>
  <cp:lastPrinted>2013-02-23T13:59:00Z</cp:lastPrinted>
  <dcterms:created xsi:type="dcterms:W3CDTF">2026-07-07T13:47:00Z</dcterms:created>
  <dcterms:modified xsi:type="dcterms:W3CDTF">2026-07-07T13:47:00Z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