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32"/>
          <w:szCs w:val="32"/>
        </w:rPr>
      </w:pPr>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9400" cy="279400"/>
                        </a:xfrm>
                        <a:prstGeom prst="rect"/>
                        <a:ln/>
                      </pic:spPr>
                    </pic:pic>
                  </a:graphicData>
                </a:graphic>
              </wp:anchor>
            </w:drawing>
          </mc:Fallback>
        </mc:AlternateContent>
      </w: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2">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NOC Mermaids</w:t>
      </w:r>
    </w:p>
    <w:p w:rsidR="00000000" w:rsidDel="00000000" w:rsidP="00000000" w:rsidRDefault="00000000" w:rsidRPr="00000000" w14:paraId="00000003">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
                <a:graphic>
                  <a:graphicData uri="http://schemas.microsoft.com/office/word/2010/wordprocessingShape">
                    <wps:wsp>
                      <wps:cNvSpPr/>
                      <wps:cNvPr id="4" name="Shape 4"/>
                      <wps:spPr>
                        <a:xfrm>
                          <a:off x="2207830" y="2774160"/>
                          <a:ext cx="6276340" cy="20116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8"/>
                                <w:vertAlign w:val="baseline"/>
                              </w:rPr>
                              <w:t xml:space="preserve">NOTES</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1"/>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should only need to edit the text </w:t>
                            </w:r>
                            <w:r w:rsidDel="00000000" w:rsidR="00000000" w:rsidRPr="00000000">
                              <w:rPr>
                                <w:rFonts w:ascii="Calibri" w:cs="Calibri" w:eastAsia="Calibri" w:hAnsi="Calibri"/>
                                <w:b w:val="0"/>
                                <w:i w:val="0"/>
                                <w:smallCaps w:val="0"/>
                                <w:strike w:val="0"/>
                                <w:color w:val="000000"/>
                                <w:sz w:val="22"/>
                                <w:highlight w:val="yellow"/>
                                <w:vertAlign w:val="baseline"/>
                              </w:rPr>
                              <w:t xml:space="preserve">highlighted in yellow</w:t>
                            </w:r>
                            <w:r w:rsidDel="00000000" w:rsidR="00000000" w:rsidRPr="00000000">
                              <w:rPr>
                                <w:rFonts w:ascii="Calibri" w:cs="Calibri" w:eastAsia="Calibri" w:hAnsi="Calibri"/>
                                <w:b w:val="0"/>
                                <w:i w:val="0"/>
                                <w:smallCaps w:val="0"/>
                                <w:strike w:val="0"/>
                                <w:color w:val="000000"/>
                                <w:sz w:val="22"/>
                                <w:vertAlign w:val="baseline"/>
                              </w:rPr>
                              <w:t xml:space="preserve">, including adding or changing the Committee Members as you see fit.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Your full name will usually start with “University of Southampton …”, so for example “University of Southampton Football Club”.</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r w:rsidDel="00000000" w:rsidR="00000000" w:rsidRPr="00000000">
                              <w:rPr>
                                <w:rFonts w:ascii="Calibri" w:cs="Calibri" w:eastAsia="Calibri" w:hAnsi="Calibri"/>
                                <w:b w:val="0"/>
                                <w:i w:val="0"/>
                                <w:smallCaps w:val="0"/>
                                <w:strike w:val="0"/>
                                <w:color w:val="000000"/>
                                <w:sz w:val="22"/>
                                <w:vertAlign w:val="baseline"/>
                              </w:rPr>
                              <w:t xml:space="preserve">Your short name or acronym can be whatever you like it to be.</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You must always have a President, Secretary and Treasurer, but you can choose another title for the President if you want. </w:t>
                            </w:r>
                          </w:p>
                          <w:p w:rsidR="00000000" w:rsidDel="00000000" w:rsidP="00000000" w:rsidRDefault="00000000" w:rsidRPr="00000000">
                            <w:pPr>
                              <w:spacing w:after="100" w:before="0" w:line="275.9999942779541"/>
                              <w:ind w:left="720" w:right="0" w:firstLine="36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If you want to make any more changes, please discuss these with the Union first – </w:t>
                            </w:r>
                            <w:r w:rsidDel="00000000" w:rsidR="00000000" w:rsidRPr="00000000">
                              <w:rPr>
                                <w:rFonts w:ascii="Calibri" w:cs="Calibri" w:eastAsia="Calibri" w:hAnsi="Calibri"/>
                                <w:b w:val="0"/>
                                <w:i w:val="0"/>
                                <w:smallCaps w:val="0"/>
                                <w:strike w:val="0"/>
                                <w:color w:val="0000ff"/>
                                <w:sz w:val="22"/>
                                <w:u w:val="single"/>
                                <w:vertAlign w:val="baseline"/>
                              </w:rPr>
                              <w:t xml:space="preserve">democracy@susu.org</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165100</wp:posOffset>
                </wp:positionV>
                <wp:extent cx="6285865" cy="2021205"/>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285865" cy="2021205"/>
                        </a:xfrm>
                        <a:prstGeom prst="rect"/>
                        <a:ln/>
                      </pic:spPr>
                    </pic:pic>
                  </a:graphicData>
                </a:graphic>
              </wp:anchor>
            </w:drawing>
          </mc:Fallback>
        </mc:AlternateContent>
      </w:r>
    </w:p>
    <w:p w:rsidR="00000000" w:rsidDel="00000000" w:rsidP="00000000" w:rsidRDefault="00000000" w:rsidRPr="00000000" w14:paraId="00000004">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5">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tabs>
          <w:tab w:val="left" w:leader="none" w:pos="4155"/>
        </w:tabs>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tabs>
          <w:tab w:val="left" w:leader="none" w:pos="4155"/>
        </w:tabs>
        <w:spacing w:after="1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B">
      <w:pPr>
        <w:pStyle w:val="Heading1"/>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D">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E">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F">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10">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“NOC Mermaids Netball”, to be known as “NOC Mermaids” and hereinafter ‘the Group’.</w:t>
      </w:r>
    </w:p>
    <w:p w:rsidR="00000000" w:rsidDel="00000000" w:rsidP="00000000" w:rsidRDefault="00000000" w:rsidRPr="00000000" w14:paraId="00000011">
      <w:pPr>
        <w:spacing w:after="100" w:line="276" w:lineRule="auto"/>
        <w:ind w:left="567" w:firstLine="0"/>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13">
      <w:pPr>
        <w:spacing w:after="100" w:line="276" w:lineRule="auto"/>
        <w:ind w:left="567"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To compete in IM matches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To have enjoyable training sessions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highlight w:val="yellow"/>
          <w:u w:val="none"/>
          <w:vertAlign w:val="baseline"/>
        </w:rPr>
      </w:pPr>
      <w:r w:rsidDel="00000000" w:rsidR="00000000" w:rsidRPr="00000000">
        <w:rPr>
          <w:rFonts w:ascii="Calibri" w:cs="Calibri" w:eastAsia="Calibri" w:hAnsi="Calibri"/>
          <w:b w:val="0"/>
          <w:i w:val="0"/>
          <w:smallCaps w:val="0"/>
          <w:strike w:val="0"/>
          <w:color w:val="000000"/>
          <w:sz w:val="23"/>
          <w:szCs w:val="23"/>
          <w:highlight w:val="yellow"/>
          <w:u w:val="none"/>
          <w:vertAlign w:val="baseline"/>
          <w:rtl w:val="0"/>
        </w:rPr>
        <w:t xml:space="preserve">To have fun socials</w:t>
      </w:r>
      <w:r w:rsidDel="00000000" w:rsidR="00000000" w:rsidRPr="00000000">
        <w:rPr>
          <w:rFonts w:ascii="Calibri" w:cs="Calibri" w:eastAsia="Calibri" w:hAnsi="Calibri"/>
          <w:sz w:val="23"/>
          <w:szCs w:val="23"/>
          <w:highlight w:val="yellow"/>
          <w:rtl w:val="0"/>
        </w:rPr>
        <w:t xml:space="preserve"> and develop social links outside of lectures and between year groups</w:t>
      </w:r>
      <w:r w:rsidDel="00000000" w:rsidR="00000000" w:rsidRPr="00000000">
        <w:rPr>
          <w:rtl w:val="0"/>
        </w:rPr>
      </w:r>
    </w:p>
    <w:p w:rsidR="00000000" w:rsidDel="00000000" w:rsidP="00000000" w:rsidRDefault="00000000" w:rsidRPr="00000000" w14:paraId="00000017">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8">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B">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C">
      <w:pPr>
        <w:tabs>
          <w:tab w:val="left" w:leader="none"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Members of the Students’ Union, and to those students of the University who have exercised their right not to be members of the Students’ Union.</w:t>
      </w:r>
    </w:p>
    <w:p w:rsidR="00000000" w:rsidDel="00000000" w:rsidP="00000000" w:rsidRDefault="00000000" w:rsidRPr="00000000" w14:paraId="0000001D">
      <w:pPr>
        <w:tabs>
          <w:tab w:val="left" w:leader="none"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20">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2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6">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7">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C">
      <w:pPr>
        <w:tabs>
          <w:tab w:val="left" w:leader="none"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F">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30">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3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3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3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3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3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7">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8">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9">
      <w:pPr>
        <w:tabs>
          <w:tab w:val="left" w:leader="none"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they are not present within fifteen minutes of the time appointed for the General Meeting, the Full Members present must elect one of their number to chair.</w:t>
      </w:r>
    </w:p>
    <w:p w:rsidR="00000000" w:rsidDel="00000000" w:rsidP="00000000" w:rsidRDefault="00000000" w:rsidRPr="00000000" w14:paraId="0000003A">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B">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4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4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4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8">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Vice Captain/Secretary.  The Secretary shall oversee the administration of the Group, take minutes at General Meetings and Meetings of the Committee, and maintain the register. </w:t>
      </w:r>
    </w:p>
    <w:p w:rsidR="00000000" w:rsidDel="00000000" w:rsidP="00000000" w:rsidRDefault="00000000" w:rsidRPr="00000000" w14:paraId="0000004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highlight w:val="yellow"/>
          <w:rtl w:val="0"/>
        </w:rPr>
        <w:t xml:space="preserve">(d)</w:t>
        <w:tab/>
        <w:t xml:space="preserve">Social Secretary(s).  The Social Secretary(s) shall provide social and cultural pursuits for the Group’s Members on a smaller scale, such as nights out.  They shall also support, and be supported by, the Events Secretary in the promotion and maintenance of the overall Group ethos.</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Fonts w:ascii="Calibri" w:cs="Calibri" w:eastAsia="Calibri" w:hAnsi="Calibri"/>
          <w:sz w:val="23"/>
          <w:szCs w:val="23"/>
          <w:highlight w:val="yellow"/>
          <w:rtl w:val="0"/>
        </w:rPr>
        <w:t xml:space="preserve">(e)</w:t>
        <w:tab/>
        <w:t xml:space="preserve">Welfare Officer.  The Welfare Officer shall provide welfare pursuits for the Group’s Members, and offer academic advice in conjunction with the course representatives of the Students’ Union.</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(f)                     Kit Secretary </w:t>
      </w:r>
    </w:p>
    <w:p w:rsidR="00000000" w:rsidDel="00000000" w:rsidP="00000000" w:rsidRDefault="00000000" w:rsidRPr="00000000" w14:paraId="00000051">
      <w:pPr>
        <w:spacing w:after="100" w:line="276" w:lineRule="auto"/>
        <w:ind w:left="2268" w:hanging="566.9999999999999"/>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(g)                     Social Media Secretary</w:t>
      </w:r>
    </w:p>
    <w:p w:rsidR="00000000" w:rsidDel="00000000" w:rsidP="00000000" w:rsidRDefault="00000000" w:rsidRPr="00000000" w14:paraId="00000052">
      <w:pPr>
        <w:spacing w:after="100" w:line="276" w:lineRule="auto"/>
        <w:ind w:left="2268" w:hanging="566.9999999999999"/>
        <w:jc w:val="both"/>
        <w:rPr/>
      </w:pPr>
      <w:r w:rsidDel="00000000" w:rsidR="00000000" w:rsidRPr="00000000">
        <w:rPr>
          <w:rtl w:val="0"/>
        </w:rPr>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highlight w:val="yellow"/>
        </w:rPr>
      </w:pPr>
      <w:r w:rsidDel="00000000" w:rsidR="00000000" w:rsidRPr="00000000">
        <w:rPr>
          <w:rtl w:val="0"/>
        </w:rPr>
      </w:r>
    </w:p>
    <w:p w:rsidR="00000000" w:rsidDel="00000000" w:rsidP="00000000" w:rsidRDefault="00000000" w:rsidRPr="00000000" w14:paraId="0000005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they have been disqualified from becoming a member of the Committee under the provisions of Clause 13, ‘Disciplinary Action’.</w:t>
      </w:r>
    </w:p>
    <w:p w:rsidR="00000000" w:rsidDel="00000000" w:rsidP="00000000" w:rsidRDefault="00000000" w:rsidRPr="00000000" w14:paraId="0000005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5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5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they:</w:t>
      </w:r>
    </w:p>
    <w:p w:rsidR="00000000" w:rsidDel="00000000" w:rsidP="00000000" w:rsidRDefault="00000000" w:rsidRPr="00000000" w14:paraId="0000005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D">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E">
      <w:pPr>
        <w:pStyle w:val="Heading1"/>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6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6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6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6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9">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A">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70">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their appointment.</w:t>
      </w:r>
    </w:p>
    <w:p w:rsidR="00000000" w:rsidDel="00000000" w:rsidP="00000000" w:rsidRDefault="00000000" w:rsidRPr="00000000" w14:paraId="00000071">
      <w:pPr>
        <w:tabs>
          <w:tab w:val="left" w:leader="none"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their appointment, but shall be eligible for re-election at that AGM.</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7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their newly-elected counterpart, or to the President, within fourteen days. </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5">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7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7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them when acting on behalf of the Group.</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B">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8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them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8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8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8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84">
      <w:pPr>
        <w:spacing w:after="100" w:line="276" w:lineRule="auto"/>
        <w:ind w:left="1701" w:firstLine="0"/>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85">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86">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8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they has in any decisions of a Meeting of the Committee or in any transaction or arrangement entered into by the Group which has not been previously declared;</w:t>
      </w:r>
    </w:p>
    <w:p w:rsidR="00000000" w:rsidDel="00000000" w:rsidP="00000000" w:rsidRDefault="00000000" w:rsidRPr="00000000" w14:paraId="0000008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themselves from any discussions of the Committee in which it is possible that a conflict will arise between their duty to act solely in the interests of the Group and any personal interest, including but not limited to any personal financial interest.</w:t>
      </w:r>
    </w:p>
    <w:p w:rsidR="00000000" w:rsidDel="00000000" w:rsidP="00000000" w:rsidRDefault="00000000" w:rsidRPr="00000000" w14:paraId="0000008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themselves from any discussions in accordance with this Clause must not vote or be counted as part of the quorum in any decision of the Committee on the matter.</w:t>
      </w:r>
    </w:p>
    <w:p w:rsidR="00000000" w:rsidDel="00000000" w:rsidP="00000000" w:rsidRDefault="00000000" w:rsidRPr="00000000" w14:paraId="0000008B">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C">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9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9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9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9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9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9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9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9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Vice President Activities.  </w:t>
      </w:r>
    </w:p>
    <w:p w:rsidR="00000000" w:rsidDel="00000000" w:rsidP="00000000" w:rsidRDefault="00000000" w:rsidRPr="00000000" w14:paraId="0000009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D">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E">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A">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D">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E">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B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B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B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B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B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B5">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6">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C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C2">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3">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C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C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C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C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A">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B">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CC">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CE">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17/10/2023</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D2">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Georgia Beesley</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Ella Causey</w:t>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tl w:val="0"/>
              </w:rPr>
            </w:r>
          </w:p>
        </w:tc>
      </w:tr>
      <w:tr>
        <w:trPr>
          <w:cantSplit w:val="0"/>
          <w:tblHeader w:val="0"/>
        </w:trPr>
        <w:tc>
          <w:tcPr>
            <w:gridSpan w:val="2"/>
            <w:tcBorders>
              <w:top w:color="000000" w:space="0" w:sz="0" w:val="nil"/>
              <w:bottom w:color="000000" w:space="0" w:sz="0" w:val="nil"/>
            </w:tcBorders>
          </w:tcPr>
          <w:p w:rsidR="00000000" w:rsidDel="00000000" w:rsidP="00000000" w:rsidRDefault="00000000" w:rsidRPr="00000000" w14:paraId="000000D9">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rPr>
          <w:cantSplit w:val="0"/>
          <w:tblHeader w:val="0"/>
        </w:trPr>
        <w:tc>
          <w:tcPr>
            <w:vMerge w:val="restart"/>
            <w:tcBorders>
              <w:top w:color="000000" w:space="0" w:sz="0" w:val="nil"/>
              <w:right w:color="000000" w:space="0" w:sz="0" w:val="nil"/>
            </w:tcBorders>
          </w:tcPr>
          <w:p w:rsidR="00000000" w:rsidDel="00000000" w:rsidP="00000000" w:rsidRDefault="00000000" w:rsidRPr="00000000" w14:paraId="000000DB">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C">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D">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w:t>
            </w:r>
          </w:p>
        </w:tc>
      </w:tr>
      <w:tr>
        <w:trPr>
          <w:cantSplit w:val="0"/>
          <w:tblHeader w:val="0"/>
        </w:trPr>
        <w:tc>
          <w:tcPr>
            <w:vMerge w:val="continue"/>
            <w:tcBorders>
              <w:top w:color="000000" w:space="0" w:sz="0" w:val="nil"/>
              <w:right w:color="000000" w:space="0" w:sz="0" w:val="nil"/>
            </w:tcBorders>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F">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E0">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Vice President Activities</w:t>
            </w:r>
          </w:p>
        </w:tc>
      </w:tr>
    </w:tbl>
    <w:p w:rsidR="00000000" w:rsidDel="00000000" w:rsidP="00000000" w:rsidRDefault="00000000" w:rsidRPr="00000000" w14:paraId="000000E1">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E2">
      <w:pPr>
        <w:spacing w:after="200" w:line="276" w:lineRule="auto"/>
        <w:rPr>
          <w:rFonts w:ascii="Calibri" w:cs="Calibri" w:eastAsia="Calibri" w:hAnsi="Calibri"/>
          <w:sz w:val="2"/>
          <w:szCs w:val="2"/>
        </w:rPr>
      </w:pPr>
      <w:bookmarkStart w:colFirst="0" w:colLast="0" w:name="_z337ya" w:id="18"/>
      <w:bookmarkEnd w:id="18"/>
      <w:r w:rsidDel="00000000" w:rsidR="00000000" w:rsidRPr="00000000">
        <w:rPr/>
        <mc:AlternateContent>
          <mc:Choice Requires="wpg">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rightMargin">
                  <wp:posOffset>1659573</wp:posOffset>
                </wp:positionH>
                <wp:positionV relativeFrom="page">
                  <wp:align>top</wp:align>
                </wp:positionV>
                <wp:extent cx="279400" cy="2794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r w:rsidDel="00000000" w:rsidR="00000000" w:rsidRPr="00000000">
        <w:rPr>
          <w:rtl w:val="0"/>
        </w:rPr>
      </w:r>
    </w:p>
    <w:sectPr>
      <w:headerReference r:id="rId11" w:type="default"/>
      <w:footerReference r:id="rId12" w:type="default"/>
      <w:pgSz w:h="16838" w:w="11906" w:orient="portrait"/>
      <w:pgMar w:bottom="1440" w:top="1440" w:left="1080" w:right="1080" w:header="708" w:footer="185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-691737</wp:posOffset>
          </wp:positionH>
          <wp:positionV relativeFrom="paragraph">
            <wp:posOffset>-462043</wp:posOffset>
          </wp:positionV>
          <wp:extent cx="7569649" cy="1070515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9649" cy="1070515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