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4812665</wp:posOffset>
            </wp:positionH>
            <wp:positionV relativeFrom="paragraph">
              <wp:posOffset>365</wp:posOffset>
            </wp:positionV>
            <wp:extent cx="1804670" cy="53403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4670" cy="534035"/>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Southampton University Swimming Club</w:t>
      </w:r>
    </w:p>
    <w:p w:rsidR="00000000" w:rsidDel="00000000" w:rsidP="00000000" w:rsidRDefault="00000000" w:rsidRPr="00000000" w14:paraId="00000005">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6">
      <w:pPr>
        <w:pStyle w:val="Heading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7">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8">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9">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A">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Swimming Club”, and hereinafter ‘the Group’.</w:t>
      </w:r>
    </w:p>
    <w:p w:rsidR="00000000" w:rsidDel="00000000" w:rsidP="00000000" w:rsidRDefault="00000000" w:rsidRPr="00000000" w14:paraId="0000000B">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welcome all swimmers both competitive and recreational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attend galas both competitive and recreational</w:t>
      </w:r>
    </w:p>
    <w:p w:rsidR="00000000" w:rsidDel="00000000" w:rsidP="00000000" w:rsidRDefault="00000000" w:rsidRPr="00000000" w14:paraId="0000001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4">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5">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6">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9">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F">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5">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8">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9">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2F">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0">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1">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2">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3">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4">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3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3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1">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4">
      <w:pPr>
        <w:spacing w:after="100" w:line="276" w:lineRule="auto"/>
        <w:ind w:left="2160" w:hanging="45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(Josephine Beagley).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160" w:right="0" w:hanging="45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 </w:t>
        <w:tab/>
        <w:t xml:space="preserve">Vice President (</w:t>
      </w:r>
      <w:r w:rsidDel="00000000" w:rsidR="00000000" w:rsidRPr="00000000">
        <w:rPr>
          <w:rFonts w:ascii="Calibri" w:cs="Calibri" w:eastAsia="Calibri" w:hAnsi="Calibri"/>
          <w:sz w:val="23"/>
          <w:szCs w:val="23"/>
          <w:rtl w:val="0"/>
        </w:rPr>
        <w:t xml:space="preserve">Szymon Wojcik</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Vice President will be the second point of contact for the club and will help the president in all matters to do with the club. They will also be someone that the President can look to for advice and guidance.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160" w:right="0" w:hanging="45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 </w:t>
        <w:tab/>
        <w:t xml:space="preserve">Treasurer (</w:t>
      </w:r>
      <w:r w:rsidDel="00000000" w:rsidR="00000000" w:rsidRPr="00000000">
        <w:rPr>
          <w:rFonts w:ascii="Calibri" w:cs="Calibri" w:eastAsia="Calibri" w:hAnsi="Calibri"/>
          <w:sz w:val="23"/>
          <w:szCs w:val="23"/>
          <w:rtl w:val="0"/>
        </w:rPr>
        <w:t xml:space="preserve">Adélia Bernard-Patel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Treasurer is in charge of all monetary aspects of the club including club fees, kit payments, gala entry fee collection etc. They are also responsible for gaining sponsorship for the club at the start of the year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Men’s Captain (</w:t>
      </w:r>
      <w:r w:rsidDel="00000000" w:rsidR="00000000" w:rsidRPr="00000000">
        <w:rPr>
          <w:rFonts w:ascii="Calibri" w:cs="Calibri" w:eastAsia="Calibri" w:hAnsi="Calibri"/>
          <w:sz w:val="23"/>
          <w:szCs w:val="23"/>
          <w:rtl w:val="0"/>
        </w:rPr>
        <w:t xml:space="preserve">Murry Prowse)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sessions and be a driving force behind the improvement of the team’s swimmers.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 </w:t>
        <w:tab/>
        <w:t xml:space="preserve">Women’s Captain (</w:t>
      </w:r>
      <w:r w:rsidDel="00000000" w:rsidR="00000000" w:rsidRPr="00000000">
        <w:rPr>
          <w:rFonts w:ascii="Calibri" w:cs="Calibri" w:eastAsia="Calibri" w:hAnsi="Calibri"/>
          <w:sz w:val="23"/>
          <w:szCs w:val="23"/>
          <w:rtl w:val="0"/>
        </w:rPr>
        <w:t xml:space="preserve">Emma Evans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Women’s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sessions and be a driving force behind the improvement of the team’s swimmers.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 </w:t>
        <w:tab/>
      </w:r>
      <w:r w:rsidDel="00000000" w:rsidR="00000000" w:rsidRPr="00000000">
        <w:rPr>
          <w:rFonts w:ascii="Calibri" w:cs="Calibri" w:eastAsia="Calibri" w:hAnsi="Calibri"/>
          <w:sz w:val="23"/>
          <w:szCs w:val="23"/>
          <w:rtl w:val="0"/>
        </w:rPr>
        <w:t xml:space="preserve">Home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Fixtures Secretary (</w:t>
      </w:r>
      <w:r w:rsidDel="00000000" w:rsidR="00000000" w:rsidRPr="00000000">
        <w:rPr>
          <w:rFonts w:ascii="Calibri" w:cs="Calibri" w:eastAsia="Calibri" w:hAnsi="Calibri"/>
          <w:sz w:val="23"/>
          <w:szCs w:val="23"/>
          <w:rtl w:val="0"/>
        </w:rPr>
        <w:t xml:space="preserve">Anthea Cheung</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w:t>
      </w:r>
      <w:r w:rsidDel="00000000" w:rsidR="00000000" w:rsidRPr="00000000">
        <w:rPr>
          <w:rFonts w:ascii="Calibri" w:cs="Calibri" w:eastAsia="Calibri" w:hAnsi="Calibri"/>
          <w:sz w:val="23"/>
          <w:szCs w:val="23"/>
          <w:rtl w:val="0"/>
        </w:rPr>
        <w:t xml:space="preserve">Home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Fixtures secretary is to organise all home fixtures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throughout the year, including the galas themselves, as well as </w:t>
      </w:r>
      <w:r w:rsidDel="00000000" w:rsidR="00000000" w:rsidRPr="00000000">
        <w:rPr>
          <w:rFonts w:ascii="Calibri" w:cs="Calibri" w:eastAsia="Calibri" w:hAnsi="Calibri"/>
          <w:sz w:val="23"/>
          <w:szCs w:val="23"/>
          <w:rtl w:val="0"/>
        </w:rPr>
        <w:t xml:space="preserve">coordinating with Jubilee to acquire the necessary pooltime and equipment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 </w:t>
        <w:tab/>
      </w:r>
      <w:r w:rsidDel="00000000" w:rsidR="00000000" w:rsidRPr="00000000">
        <w:rPr>
          <w:rFonts w:ascii="Calibri" w:cs="Calibri" w:eastAsia="Calibri" w:hAnsi="Calibri"/>
          <w:sz w:val="23"/>
          <w:szCs w:val="23"/>
          <w:rtl w:val="0"/>
        </w:rPr>
        <w:t xml:space="preserve">Away Fixtures Secretary (Jacob Bircher). The Fixtures secretary is to organise all away fixtures throughout the year, including the galas themselves, as well as transport and accommodation.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w:t>
        <w:tab/>
      </w:r>
      <w:r w:rsidDel="00000000" w:rsidR="00000000" w:rsidRPr="00000000">
        <w:rPr>
          <w:rFonts w:ascii="Calibri" w:cs="Calibri" w:eastAsia="Calibri" w:hAnsi="Calibri"/>
          <w:sz w:val="23"/>
          <w:szCs w:val="23"/>
          <w:rtl w:val="0"/>
        </w:rPr>
        <w:t xml:space="preserve">Social Secretaries (Iso McInnes and Freddie Evans). The social secretary(s) is responsible for organising socials for the club each week as well as nights out at competitions etc. They are role models for the social side of the club and are responsible for making all members feel welcome and providing enjoyable nights for all.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w:t>
        <w:tab/>
      </w:r>
      <w:r w:rsidDel="00000000" w:rsidR="00000000" w:rsidRPr="00000000">
        <w:rPr>
          <w:rFonts w:ascii="Calibri" w:cs="Calibri" w:eastAsia="Calibri" w:hAnsi="Calibri"/>
          <w:sz w:val="23"/>
          <w:szCs w:val="23"/>
          <w:rtl w:val="0"/>
        </w:rPr>
        <w:t xml:space="preserve">Kit Secretary (Lois Parry). The kit secretary is responsible for choosing and ordering all kit for the whole club and these orders usually take place twice throughout the year.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w:t>
        <w:tab/>
        <w:t xml:space="preserve">Tour Secretary (Benjamin Coupland). The Tour secretary is responsible for organising an Easter tour for the club. This includes choosing a location, sorting out travel, accommodation etc. It is up to the tour sec where they choose to take the club and all organisation is down to them.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9.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1">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72">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5">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6">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C">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D">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E">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F">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7">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4">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w:t>
      </w:r>
    </w:p>
    <w:p w:rsidR="00000000" w:rsidDel="00000000" w:rsidP="00000000" w:rsidRDefault="00000000" w:rsidRPr="00000000" w14:paraId="000000C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B">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D">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F">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0">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1">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2">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Pr>
        <w:drawing>
          <wp:anchor allowOverlap="1" behindDoc="0" distB="114300" distT="114300" distL="114300" distR="114300" hidden="0" layoutInCell="1" locked="0" relativeHeight="0" simplePos="0">
            <wp:simplePos x="0" y="0"/>
            <wp:positionH relativeFrom="page">
              <wp:posOffset>2590800</wp:posOffset>
            </wp:positionH>
            <wp:positionV relativeFrom="page">
              <wp:posOffset>2965534</wp:posOffset>
            </wp:positionV>
            <wp:extent cx="1575880" cy="48727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75880" cy="487279"/>
                    </a:xfrm>
                    <a:prstGeom prst="rect"/>
                    <a:ln/>
                  </pic:spPr>
                </pic:pic>
              </a:graphicData>
            </a:graphic>
          </wp:anchor>
        </w:drawing>
      </w:r>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24/07/2022</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996187</wp:posOffset>
                  </wp:positionH>
                  <wp:positionV relativeFrom="paragraph">
                    <wp:posOffset>287576</wp:posOffset>
                  </wp:positionV>
                  <wp:extent cx="1246950" cy="318987"/>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46950" cy="318987"/>
                          </a:xfrm>
                          <a:prstGeom prst="rect"/>
                          <a:ln/>
                        </pic:spPr>
                      </pic:pic>
                    </a:graphicData>
                  </a:graphic>
                </wp:anchor>
              </w:drawing>
            </w:r>
          </w:p>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E8">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9">
      <w:pPr>
        <w:spacing w:after="200" w:line="276" w:lineRule="auto"/>
        <w:rPr>
          <w:rFonts w:ascii="Calibri" w:cs="Calibri" w:eastAsia="Calibri" w:hAnsi="Calibri"/>
          <w:sz w:val="2"/>
          <w:szCs w:val="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footerReference r:id="rId13"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Page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of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