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100"/>
        <w:jc w:val="center"/>
        <w:rPr>
          <w:rFonts w:ascii="Calibri" w:hAnsi="Calibri" w:cs="Tahoma" w:asciiTheme="minorHAnsi" w:hAnsiTheme="minorHAnsi"/>
          <w:b/>
          <w:sz w:val="32"/>
          <w:szCs w:val="28"/>
        </w:rPr>
      </w:pPr>
      <w:r>
        <mc:AlternateContent>
          <mc:Choice Requires="wps">
            <w:drawing>
              <wp:anchor behindDoc="0" distT="9525" distB="6350" distL="11430" distR="13970" simplePos="0" locked="0" layoutInCell="0" allowOverlap="1" relativeHeight="13" wp14:anchorId="032E03D8">
                <wp:simplePos x="0" y="0"/>
                <wp:positionH relativeFrom="rightMargin">
                  <wp:posOffset>673100</wp:posOffset>
                </wp:positionH>
                <wp:positionV relativeFrom="page">
                  <wp:align>top</wp:align>
                </wp:positionV>
                <wp:extent cx="270510" cy="270510"/>
                <wp:effectExtent l="1905" t="1905" r="1905" b="1905"/>
                <wp:wrapNone/>
                <wp:docPr id="1" name="Rectangle 1"/>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175">
                          <a:solidFill>
                            <a:srgbClr val="000000"/>
                          </a:solidFill>
                          <a:miter/>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53pt;margin-top:0.75pt;width:21.25pt;height:21.25pt;mso-wrap-style:none;v-text-anchor:middle;mso-position-horizontal-relative:page;mso-position-vertical:top;mso-position-vertical-relative:page" wp14:anchorId="032E03D8">
                <v:fill o:detectmouseclick="t" type="solid" color2="black"/>
                <v:stroke color="black" weight="3240" joinstyle="miter" endcap="flat"/>
                <w10:wrap type="none"/>
              </v:rect>
            </w:pict>
          </mc:Fallback>
        </mc:AlternateContent>
      </w:r>
      <w:r>
        <w:rPr>
          <w:rFonts w:cs="Tahoma" w:ascii="Calibri" w:hAnsi="Calibri" w:asciiTheme="minorHAnsi" w:hAnsiTheme="minorHAnsi"/>
          <w:b/>
          <w:sz w:val="32"/>
          <w:szCs w:val="28"/>
        </w:rPr>
        <w:t>University of Southampton Students’ Union</w:t>
      </w:r>
    </w:p>
    <w:p>
      <w:pPr>
        <w:pStyle w:val="Normal"/>
        <w:spacing w:lineRule="auto" w:line="276" w:before="0" w:after="100"/>
        <w:jc w:val="center"/>
        <w:rPr>
          <w:rFonts w:ascii="Calibri" w:hAnsi="Calibri" w:cs="Tahoma" w:asciiTheme="minorHAnsi" w:hAnsiTheme="minorHAnsi"/>
          <w:b/>
          <w:sz w:val="32"/>
          <w:szCs w:val="28"/>
        </w:rPr>
      </w:pPr>
      <w:r>
        <w:rPr>
          <w:rFonts w:cs="Tahoma" w:ascii="Calibri" w:hAnsi="Calibri" w:asciiTheme="minorHAnsi" w:hAnsiTheme="minorHAnsi"/>
          <w:b/>
          <w:sz w:val="32"/>
          <w:szCs w:val="28"/>
        </w:rPr>
        <w:t>Constitution of:</w:t>
      </w:r>
      <w:r>
        <w:rPr>
          <w:rFonts w:cs="Tahoma" w:ascii="Calibri" w:hAnsi="Calibri" w:asciiTheme="minorHAnsi" w:hAnsiTheme="minorHAnsi"/>
          <w:b/>
          <w:sz w:val="32"/>
          <w:szCs w:val="28"/>
          <w:shd w:fill="auto" w:val="clear"/>
        </w:rPr>
        <w:t xml:space="preserve"> </w:t>
      </w:r>
      <w:r>
        <w:rPr>
          <w:rFonts w:cs="Tahoma" w:ascii="Calibri" w:hAnsi="Calibri" w:asciiTheme="minorHAnsi" w:hAnsiTheme="minorHAnsi"/>
          <w:b/>
          <w:sz w:val="32"/>
          <w:szCs w:val="28"/>
          <w:shd w:fill="auto" w:val="clear"/>
        </w:rPr>
        <w:t>Vegan and Vegetarian Society (VegSoc)</w:t>
      </w:r>
    </w:p>
    <w:p>
      <w:pPr>
        <w:pStyle w:val="Normal"/>
        <w:spacing w:lineRule="auto" w:line="276" w:before="0" w:after="100"/>
        <w:jc w:val="center"/>
        <w:rPr>
          <w:rFonts w:ascii="Calibri" w:hAnsi="Calibri" w:cs="Tahoma" w:asciiTheme="minorHAnsi" w:hAnsiTheme="minorHAnsi"/>
          <w:b/>
          <w:sz w:val="28"/>
          <w:szCs w:val="28"/>
        </w:rPr>
      </w:pPr>
      <w:r>
        <w:rPr>
          <w:rFonts w:cs="Tahoma" w:ascii="Calibri" w:hAnsi="Calibri"/>
          <w:b/>
          <w:sz w:val="28"/>
          <w:szCs w:val="28"/>
        </w:rPr>
        <mc:AlternateContent>
          <mc:Choice Requires="wps">
            <w:drawing>
              <wp:anchor behindDoc="0" distT="0" distB="26670" distL="0" distR="10160" simplePos="0" locked="0" layoutInCell="0" allowOverlap="1" relativeHeight="15" wp14:anchorId="5E316BD0">
                <wp:simplePos x="0" y="0"/>
                <wp:positionH relativeFrom="column">
                  <wp:posOffset>-64135</wp:posOffset>
                </wp:positionH>
                <wp:positionV relativeFrom="paragraph">
                  <wp:posOffset>181610</wp:posOffset>
                </wp:positionV>
                <wp:extent cx="6276975" cy="2012315"/>
                <wp:effectExtent l="5715" t="5715" r="4445" b="4445"/>
                <wp:wrapNone/>
                <wp:docPr id="2" name="Text Box 2"/>
                <a:graphic xmlns:a="http://schemas.openxmlformats.org/drawingml/2006/main">
                  <a:graphicData uri="http://schemas.microsoft.com/office/word/2010/wordprocessingShape">
                    <wps:wsp>
                      <wps:cNvSpPr/>
                      <wps:spPr>
                        <a:xfrm>
                          <a:off x="0" y="0"/>
                          <a:ext cx="6276960" cy="20124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sz w:val="28"/>
                                <w:szCs w:val="28"/>
                              </w:rPr>
                            </w:pPr>
                            <w:r>
                              <w:rPr>
                                <w:rFonts w:cs="Tahoma" w:ascii="Calibri" w:hAnsi="Calibri" w:asciiTheme="minorHAnsi" w:hAnsiTheme="minorHAnsi"/>
                                <w:b/>
                                <w:color w:val="000000"/>
                                <w:sz w:val="28"/>
                                <w:szCs w:val="28"/>
                              </w:rPr>
                              <w:t>NOTES</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You should only need to edit the text </w:t>
                            </w:r>
                            <w:r>
                              <w:rPr>
                                <w:rFonts w:cs="Tahoma" w:ascii="Calibri" w:hAnsi="Calibri" w:asciiTheme="minorHAnsi" w:hAnsiTheme="minorHAnsi"/>
                                <w:color w:val="000000"/>
                                <w:sz w:val="22"/>
                                <w:szCs w:val="28"/>
                                <w:highlight w:val="yellow"/>
                              </w:rPr>
                              <w:t>highlighted in yellow</w:t>
                            </w:r>
                            <w:r>
                              <w:rPr>
                                <w:rFonts w:cs="Tahoma" w:ascii="Calibri" w:hAnsi="Calibri" w:asciiTheme="minorHAnsi" w:hAnsiTheme="minorHAnsi"/>
                                <w:color w:val="000000"/>
                                <w:sz w:val="22"/>
                                <w:szCs w:val="28"/>
                              </w:rPr>
                              <w:t xml:space="preserve">, including adding or changing the Committee Members as you see fit. </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Your full name will usually start with “University of Southampton …”, so for example “University of Southampton Football Club”.</w:t>
                            </w:r>
                            <w:r>
                              <w:rPr>
                                <w:color w:val="000000"/>
                              </w:rPr>
                              <w:t xml:space="preserve"> </w:t>
                            </w:r>
                            <w:r>
                              <w:rPr>
                                <w:rFonts w:cs="Tahoma" w:ascii="Calibri" w:hAnsi="Calibri" w:asciiTheme="minorHAnsi" w:hAnsiTheme="minorHAnsi"/>
                                <w:color w:val="000000"/>
                                <w:sz w:val="22"/>
                                <w:szCs w:val="28"/>
                              </w:rPr>
                              <w:t>Your short name or acronym can be whatever you like it to be.</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You must always have a President, Secretary and Treasurer, but you can choose another title for the President if you want. </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If you want to make any more changes, please discuss these with the Union first – </w:t>
                            </w:r>
                            <w:hyperlink r:id="rId2">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color w:val="000000"/>
                                <w:sz w:val="22"/>
                                <w:szCs w:val="28"/>
                              </w:rPr>
                              <w:t>.</w:t>
                            </w:r>
                          </w:p>
                          <w:p>
                            <w:pPr>
                              <w:pStyle w:val="FrameContents"/>
                              <w:rPr>
                                <w:color w:val="000000"/>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5.05pt;margin-top:14.3pt;width:494.2pt;height:158.4pt;mso-wrap-style:square;v-text-anchor:top" wp14:anchorId="5E316BD0">
                <v:fill o:detectmouseclick="t" type="solid" color2="black"/>
                <v:stroke color="black" weight="9360" joinstyle="miter" endcap="flat"/>
                <v:textbox>
                  <w:txbxContent>
                    <w:p>
                      <w:pPr>
                        <w:pStyle w:val="FrameContents"/>
                        <w:tabs>
                          <w:tab w:val="clear" w:pos="720"/>
                          <w:tab w:val="left" w:pos="4155" w:leader="none"/>
                        </w:tabs>
                        <w:spacing w:lineRule="auto" w:line="276" w:before="0" w:after="100"/>
                        <w:jc w:val="center"/>
                        <w:rPr>
                          <w:rFonts w:ascii="Calibri" w:hAnsi="Calibri" w:cs="Tahoma" w:asciiTheme="minorHAnsi" w:hAnsiTheme="minorHAnsi"/>
                          <w:b/>
                          <w:sz w:val="28"/>
                          <w:szCs w:val="28"/>
                        </w:rPr>
                      </w:pPr>
                      <w:r>
                        <w:rPr>
                          <w:rFonts w:cs="Tahoma" w:ascii="Calibri" w:hAnsi="Calibri" w:asciiTheme="minorHAnsi" w:hAnsiTheme="minorHAnsi"/>
                          <w:b/>
                          <w:color w:val="000000"/>
                          <w:sz w:val="28"/>
                          <w:szCs w:val="28"/>
                        </w:rPr>
                        <w:t>NOTES</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You should only need to edit the text </w:t>
                      </w:r>
                      <w:r>
                        <w:rPr>
                          <w:rFonts w:cs="Tahoma" w:ascii="Calibri" w:hAnsi="Calibri" w:asciiTheme="minorHAnsi" w:hAnsiTheme="minorHAnsi"/>
                          <w:color w:val="000000"/>
                          <w:sz w:val="22"/>
                          <w:szCs w:val="28"/>
                          <w:highlight w:val="yellow"/>
                        </w:rPr>
                        <w:t>highlighted in yellow</w:t>
                      </w:r>
                      <w:r>
                        <w:rPr>
                          <w:rFonts w:cs="Tahoma" w:ascii="Calibri" w:hAnsi="Calibri" w:asciiTheme="minorHAnsi" w:hAnsiTheme="minorHAnsi"/>
                          <w:color w:val="000000"/>
                          <w:sz w:val="22"/>
                          <w:szCs w:val="28"/>
                        </w:rPr>
                        <w:t xml:space="preserve">, including adding or changing the Committee Members as you see fit. </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Your full name will usually start with “University of Southampton …”, so for example “University of Southampton Football Club”.</w:t>
                      </w:r>
                      <w:r>
                        <w:rPr>
                          <w:color w:val="000000"/>
                        </w:rPr>
                        <w:t xml:space="preserve"> </w:t>
                      </w:r>
                      <w:r>
                        <w:rPr>
                          <w:rFonts w:cs="Tahoma" w:ascii="Calibri" w:hAnsi="Calibri" w:asciiTheme="minorHAnsi" w:hAnsiTheme="minorHAnsi"/>
                          <w:color w:val="000000"/>
                          <w:sz w:val="22"/>
                          <w:szCs w:val="28"/>
                        </w:rPr>
                        <w:t>Your short name or acronym can be whatever you like it to be.</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You must always have a President, Secretary and Treasurer, but you can choose another title for the President if you want. </w:t>
                      </w:r>
                    </w:p>
                    <w:p>
                      <w:pPr>
                        <w:pStyle w:val="ListParagraph"/>
                        <w:numPr>
                          <w:ilvl w:val="0"/>
                          <w:numId w:val="2"/>
                        </w:numPr>
                        <w:tabs>
                          <w:tab w:val="clear" w:pos="720"/>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000000"/>
                          <w:sz w:val="22"/>
                          <w:szCs w:val="28"/>
                        </w:rPr>
                        <w:t xml:space="preserve">If you want to make any more changes, please discuss these with the Union first – </w:t>
                      </w:r>
                      <w:hyperlink r:id="rId3">
                        <w:r>
                          <w:rPr>
                            <w:rStyle w:val="InternetLink"/>
                            <w:rFonts w:cs="Tahoma" w:ascii="Calibri" w:hAnsi="Calibri" w:asciiTheme="minorHAnsi" w:hAnsiTheme="minorHAnsi"/>
                            <w:sz w:val="22"/>
                            <w:szCs w:val="28"/>
                          </w:rPr>
                          <w:t>democracy@susu.org</w:t>
                        </w:r>
                      </w:hyperlink>
                      <w:r>
                        <w:rPr>
                          <w:rFonts w:cs="Tahoma" w:ascii="Calibri" w:hAnsi="Calibri" w:asciiTheme="minorHAnsi" w:hAnsiTheme="minorHAnsi"/>
                          <w:color w:val="000000"/>
                          <w:sz w:val="22"/>
                          <w:szCs w:val="28"/>
                        </w:rPr>
                        <w:t>.</w:t>
                      </w:r>
                    </w:p>
                    <w:p>
                      <w:pPr>
                        <w:pStyle w:val="FrameContents"/>
                        <w:rPr>
                          <w:color w:val="000000"/>
                        </w:rPr>
                      </w:pPr>
                      <w:r>
                        <w:rPr>
                          <w:color w:val="000000"/>
                        </w:rPr>
                      </w:r>
                    </w:p>
                  </w:txbxContent>
                </v:textbox>
                <w10:wrap type="none"/>
              </v:rect>
            </w:pict>
          </mc:Fallback>
        </mc:AlternateContent>
      </w:r>
    </w:p>
    <w:p>
      <w:pPr>
        <w:pStyle w:val="Normal"/>
        <w:spacing w:lineRule="auto" w:line="276" w:before="0" w:after="100"/>
        <w:jc w:val="center"/>
        <w:rPr>
          <w:rFonts w:ascii="Calibri" w:hAnsi="Calibri" w:cs="Tahoma" w:asciiTheme="minorHAnsi" w:hAnsiTheme="minorHAnsi"/>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sz w:val="28"/>
          <w:szCs w:val="28"/>
        </w:rPr>
      </w:pPr>
      <w:r>
        <w:rPr>
          <w:rFonts w:cs="Tahoma" w:ascii="Calibri" w:hAnsi="Calibri"/>
          <w:b/>
          <w:sz w:val="28"/>
          <w:szCs w:val="28"/>
        </w:rPr>
      </w:r>
    </w:p>
    <w:p>
      <w:pPr>
        <w:pStyle w:val="Normal"/>
        <w:tabs>
          <w:tab w:val="clear" w:pos="720"/>
          <w:tab w:val="left" w:pos="4155" w:leader="none"/>
        </w:tabs>
        <w:spacing w:lineRule="auto" w:line="276" w:before="0" w:after="100"/>
        <w:jc w:val="center"/>
        <w:rPr>
          <w:rFonts w:ascii="Calibri" w:hAnsi="Calibri" w:cs="Tahoma" w:asciiTheme="minorHAnsi" w:hAnsiTheme="minorHAnsi"/>
          <w:b/>
          <w:sz w:val="28"/>
          <w:szCs w:val="28"/>
        </w:rPr>
      </w:pPr>
      <w:r>
        <w:rPr>
          <w:rFonts w:cs="Tahoma" w:ascii="Calibri" w:hAnsi="Calibri"/>
          <w:b/>
          <w:sz w:val="28"/>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clear" w:pos="720"/>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rPr>
          <w:rFonts w:ascii="Calibri" w:hAnsi="Calibri" w:cs="Tahoma" w:asciiTheme="minorHAnsi" w:hAnsiTheme="minorHAnsi"/>
          <w:b/>
          <w:bCs/>
          <w:sz w:val="23"/>
          <w:szCs w:val="23"/>
        </w:rPr>
      </w:pPr>
      <w:r>
        <w:rPr>
          <w:rFonts w:cs="Tahoma" w:ascii="Calibri" w:hAnsi="Calibri"/>
          <w:b/>
          <w:bCs/>
          <w:sz w:val="23"/>
          <w:szCs w:val="23"/>
        </w:rPr>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0" w:name="_Toc369882026"/>
      <w:r>
        <w:rPr>
          <w:rFonts w:ascii="Calibri" w:hAnsi="Calibri" w:asciiTheme="minorHAnsi" w:hAnsiTheme="minorHAnsi"/>
        </w:rPr>
        <w:t xml:space="preserve">1. </w:t>
        <w:tab/>
        <w:t>Adoption of the Constitution</w:t>
      </w:r>
      <w:bookmarkEnd w:id="0"/>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This unincorporated association and its property shall be managed and administered in accordance with this Constitution.</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sz w:val="23"/>
          <w:szCs w:val="23"/>
        </w:rPr>
      </w:r>
    </w:p>
    <w:p>
      <w:pPr>
        <w:pStyle w:val="Heading1"/>
        <w:rPr>
          <w:rStyle w:val="Lead-inEmphasis"/>
          <w:rFonts w:ascii="Calibri" w:hAnsi="Calibri" w:asciiTheme="minorHAnsi" w:hAnsiTheme="minorHAnsi"/>
          <w:b/>
        </w:rPr>
      </w:pPr>
      <w:bookmarkStart w:id="1" w:name="_Toc369882027"/>
      <w:r>
        <w:rPr>
          <w:rStyle w:val="Lead-inEmphasis"/>
          <w:rFonts w:ascii="Calibri" w:hAnsi="Calibri" w:asciiTheme="minorHAnsi" w:hAnsiTheme="minorHAnsi"/>
          <w:b/>
          <w:caps/>
        </w:rPr>
        <w:t>2.</w:t>
        <w:tab/>
      </w:r>
      <w:r>
        <w:rPr>
          <w:rStyle w:val="Lead-inEmphasis"/>
          <w:rFonts w:ascii="Calibri" w:hAnsi="Calibri" w:asciiTheme="minorHAnsi" w:hAnsiTheme="minorHAnsi"/>
          <w:b/>
        </w:rPr>
        <w:t>Name</w:t>
      </w:r>
      <w:bookmarkEnd w:id="1"/>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association’s name is “Vegan and Vegetarian Society”, to be known as “VegSoc” and hereinafter ‘the Group’.</w:t>
      </w:r>
    </w:p>
    <w:p>
      <w:pPr>
        <w:pStyle w:val="Normal"/>
        <w:spacing w:lineRule="auto" w:line="276" w:before="0" w:after="100"/>
        <w:ind w:left="567" w:hanging="0"/>
        <w:jc w:val="both"/>
        <w:rPr>
          <w:rFonts w:ascii="Calibri" w:hAnsi="Calibri" w:cs="Tahoma" w:asciiTheme="minorHAnsi" w:hAnsiTheme="minorHAnsi"/>
          <w:bCs/>
          <w:sz w:val="23"/>
          <w:szCs w:val="23"/>
        </w:rPr>
      </w:pPr>
      <w:r>
        <w:rPr>
          <w:rFonts w:cs="Tahoma" w:ascii="Calibri" w:hAnsi="Calibri"/>
          <w:bCs/>
          <w:sz w:val="23"/>
          <w:szCs w:val="23"/>
        </w:rPr>
      </w:r>
    </w:p>
    <w:p>
      <w:pPr>
        <w:pStyle w:val="Heading1"/>
        <w:rPr>
          <w:rFonts w:ascii="Calibri" w:hAnsi="Calibri" w:asciiTheme="minorHAnsi" w:hAnsiTheme="minorHAnsi"/>
        </w:rPr>
      </w:pPr>
      <w:bookmarkStart w:id="2" w:name="_Toc369882028"/>
      <w:r>
        <w:rPr>
          <w:rFonts w:ascii="Calibri" w:hAnsi="Calibri" w:asciiTheme="minorHAnsi" w:hAnsiTheme="minorHAnsi"/>
        </w:rPr>
        <w:t>3.</w:t>
        <w:tab/>
        <w:t>Objects</w:t>
      </w:r>
      <w:bookmarkEnd w:id="2"/>
      <w:r>
        <w:rPr>
          <w:rFonts w:ascii="Calibri" w:hAnsi="Calibri" w:asciiTheme="minorHAnsi" w:hAnsiTheme="minorHAnsi"/>
        </w:rPr>
        <w:t xml:space="preserve"> </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objectives of the Group, ‘the objects’, are:</w:t>
      </w:r>
    </w:p>
    <w:p>
      <w:pPr>
        <w:pStyle w:val="ListParagraph"/>
        <w:numPr>
          <w:ilvl w:val="0"/>
          <w:numId w:val="3"/>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Promote veganism/vegetarianism on campus</w:t>
      </w:r>
    </w:p>
    <w:p>
      <w:pPr>
        <w:pStyle w:val="ListParagraph"/>
        <w:numPr>
          <w:ilvl w:val="0"/>
          <w:numId w:val="3"/>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Campaign for cheaper veggie alternatives on campus</w:t>
      </w:r>
    </w:p>
    <w:p>
      <w:pPr>
        <w:pStyle w:val="ListParagraph"/>
        <w:numPr>
          <w:ilvl w:val="0"/>
          <w:numId w:val="3"/>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Campaign for more vegan/vegetarian options on campus</w:t>
      </w:r>
    </w:p>
    <w:p>
      <w:pPr>
        <w:pStyle w:val="ListParagraph"/>
        <w:numPr>
          <w:ilvl w:val="0"/>
          <w:numId w:val="3"/>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Offer activism opportunities to members</w:t>
      </w:r>
    </w:p>
    <w:p>
      <w:pPr>
        <w:pStyle w:val="ListParagraph"/>
        <w:numPr>
          <w:ilvl w:val="0"/>
          <w:numId w:val="3"/>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Create a community of vegans and vegetarians </w:t>
      </w:r>
    </w:p>
    <w:p>
      <w:pPr>
        <w:pStyle w:val="Heading1"/>
        <w:rPr>
          <w:rFonts w:ascii="Calibri" w:hAnsi="Calibri" w:asciiTheme="minorHAnsi" w:hAnsiTheme="minorHAnsi"/>
        </w:rPr>
      </w:pPr>
      <w:bookmarkStart w:id="3" w:name="_Toc369882029"/>
      <w:r>
        <w:rPr>
          <w:rFonts w:ascii="Calibri" w:hAnsi="Calibri" w:asciiTheme="minorHAnsi" w:hAnsiTheme="minorHAnsi"/>
        </w:rPr>
        <w:t>4.</w:t>
        <w:tab/>
        <w:t>Membership</w:t>
      </w:r>
      <w:bookmarkEnd w:id="3"/>
      <w:r>
        <w:rPr>
          <w:rFonts w:ascii="Calibri" w:hAnsi="Calibri" w:asciiTheme="minorHAnsi" w:hAnsiTheme="minorHAnsi"/>
        </w:rPr>
        <w:tab/>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Membership is open to natural persons, and is not transferable to anyone else.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Membership is constituted in the following categories:</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ab/>
        <w:t>(a)</w:t>
        <w:tab/>
        <w:t>Full, open only to Full Members of the Students’ Union;</w:t>
      </w:r>
    </w:p>
    <w:p>
      <w:pPr>
        <w:pStyle w:val="Normal"/>
        <w:tabs>
          <w:tab w:val="clear" w:pos="720"/>
          <w:tab w:val="left" w:pos="2268"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Associate, open to Associate Members of the Students’ Union, and to those students of the University who have exercised their right not to be members of the Students’ Union.</w:t>
      </w:r>
    </w:p>
    <w:p>
      <w:pPr>
        <w:pStyle w:val="Normal"/>
        <w:tabs>
          <w:tab w:val="clear" w:pos="720"/>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Group may charge a fee for admission to Membership, which may be set by a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The Committee must keep a register of members (‘the register’) on the Student Groups Hub provided by the Students’ Union at </w:t>
      </w:r>
      <w:hyperlink r:id="rId4">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The Committee may only refuse an application for Membership if, acting reasonably and properly, they consider it to be in the best interests of the Group to refuse the application.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Membership is terminated if:</w:t>
      </w:r>
    </w:p>
    <w:p>
      <w:pPr>
        <w:pStyle w:val="ListParagraph"/>
        <w:numPr>
          <w:ilvl w:val="0"/>
          <w:numId w:val="1"/>
        </w:numPr>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the Member resigns by written notice to the Committee.</w:t>
      </w:r>
    </w:p>
    <w:p>
      <w:pPr>
        <w:pStyle w:val="ListParagraph"/>
        <w:numPr>
          <w:ilvl w:val="0"/>
          <w:numId w:val="1"/>
        </w:numPr>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any sum due from the Member to the Group is not paid in full within six months of it falling due.</w:t>
      </w:r>
    </w:p>
    <w:p>
      <w:pPr>
        <w:pStyle w:val="ListParagraph"/>
        <w:numPr>
          <w:ilvl w:val="0"/>
          <w:numId w:val="1"/>
        </w:numPr>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a Member ceases to be qualified for their category of Membership.</w:t>
      </w:r>
    </w:p>
    <w:p>
      <w:pPr>
        <w:pStyle w:val="ListParagraph"/>
        <w:numPr>
          <w:ilvl w:val="0"/>
          <w:numId w:val="1"/>
        </w:numPr>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membership is revoked by a resolution of the Members in General Meeting or a Meeting of the Committee, in accordance with Clause 13, ‘Disciplinary Action’.</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caps/>
        </w:rPr>
      </w:pPr>
      <w:bookmarkStart w:id="4" w:name="_Toc369882030"/>
      <w:r>
        <w:rPr>
          <w:rFonts w:ascii="Calibri" w:hAnsi="Calibri" w:asciiTheme="minorHAnsi" w:hAnsiTheme="minorHAnsi"/>
          <w:caps/>
        </w:rPr>
        <w:t>5.</w:t>
        <w:tab/>
      </w:r>
      <w:r>
        <w:rPr>
          <w:rFonts w:ascii="Calibri" w:hAnsi="Calibri" w:asciiTheme="minorHAnsi" w:hAnsiTheme="minorHAnsi"/>
        </w:rPr>
        <w:t>General Meetings</w:t>
      </w:r>
      <w:bookmarkEnd w:id="4"/>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General Meeting constitute the Group’s highest decision-making body, subject to the provisions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The Group must hold an Annual General Meeting (AGM) in each academic year and not more than fifteen months may elapse between successive AGMs.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A General Meeting that is not an Annual General Meeting is called an Extraordinary General Meeting (EGM).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may call an Extraordinary General Meeting at any time.</w:t>
      </w:r>
    </w:p>
    <w:p>
      <w:pPr>
        <w:pStyle w:val="Normal"/>
        <w:tabs>
          <w:tab w:val="clear" w:pos="720"/>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 xml:space="preserve">The Committee must call an Extraordinary General Meeting if requested to do so in writing by at least five Full Members of the Group.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Members’ written request must state a complete agenda for the EGM.</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5" w:name="_Toc369882031"/>
      <w:r>
        <w:rPr>
          <w:rFonts w:ascii="Calibri" w:hAnsi="Calibri" w:asciiTheme="minorHAnsi" w:hAnsiTheme="minorHAnsi"/>
        </w:rPr>
        <w:t xml:space="preserve">6. </w:t>
        <w:tab/>
        <w:t>Proceedings of General Meetings</w:t>
      </w:r>
      <w:bookmarkEnd w:id="5"/>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Notice: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minimum period of notice required to hold an Annual General Meeting is ten days.  The minimum period of notice required to hold an Extraordinary General Meeting is three days.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notice must specify the date, time and place of the General Meeting, and an agenda for the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If the General Meeting is to be an AGM, the notice must say so, and must invite nominations in accordance with Clause 9, ‘Appointment of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 xml:space="preserve">Notice must be given to all Members and to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Chairing:</w:t>
      </w:r>
    </w:p>
    <w:p>
      <w:pPr>
        <w:pStyle w:val="Normal"/>
        <w:spacing w:lineRule="auto" w:line="276" w:before="0" w:after="100"/>
        <w:ind w:left="2160" w:hanging="459"/>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General Meetings shall usually be chaired by the person who has been elected as President.</w:t>
      </w:r>
    </w:p>
    <w:p>
      <w:pPr>
        <w:pStyle w:val="Normal"/>
        <w:tabs>
          <w:tab w:val="clear" w:pos="720"/>
          <w:tab w:val="left" w:pos="1701"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there is no such person or they are not present within fifteen minutes of the time appointed for the General Meeting, the Full Members present must elect one of their number to chair.</w:t>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Associate Members may speak at General Meetings with the permission of the meeting.</w:t>
      </w:r>
    </w:p>
    <w:p>
      <w:pPr>
        <w:pStyle w:val="Normal"/>
        <w:ind w:firstLine="567"/>
        <w:rPr>
          <w:rFonts w:ascii="Calibri" w:hAnsi="Calibri" w:asciiTheme="minorHAnsi" w:hAnsiTheme="minorHAnsi"/>
          <w:sz w:val="23"/>
          <w:szCs w:val="23"/>
        </w:rPr>
      </w:pPr>
      <w:r>
        <w:rPr>
          <w:rFonts w:ascii="Calibri" w:hAnsi="Calibri" w:asciiTheme="minorHAnsi" w:hAnsiTheme="minorHAnsi"/>
          <w:sz w:val="23"/>
          <w:szCs w:val="23"/>
        </w:rPr>
        <w:t xml:space="preserve">(4) </w:t>
        <w:tab/>
        <w:t>Voting: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Decisions may only be made by at least a simple majority of votes at a quorate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All voting shall be by a show of hands or secret ballot, at the discretion of the Chair.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Minutes: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Minutes must be taken of all proceedings at a General Meeting, including the decisions made and where appropriate the reasons for the decisions.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Minutes of a General Meeting shall be made available to all Members within seven days.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Reports: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 xml:space="preserve">If the General Meeting is an AGM, the Chair may invite any of the Committee to offer a report of their activities whilst in office.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Treasurer must present the Group’s accounts to the Members at the AGM.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Resolutions: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Any Full Member may propose a resolution to be discussed and voted upon at a General Meeting.</w:t>
      </w:r>
    </w:p>
    <w:p>
      <w:pPr>
        <w:pStyle w:val="Heading1"/>
        <w:rPr>
          <w:rFonts w:ascii="Calibri" w:hAnsi="Calibri" w:asciiTheme="minorHAnsi" w:hAnsiTheme="minorHAnsi"/>
        </w:rPr>
      </w:pPr>
      <w:bookmarkStart w:id="6" w:name="_Toc369882032"/>
      <w:r>
        <w:rPr>
          <w:rFonts w:ascii="Calibri" w:hAnsi="Calibri" w:asciiTheme="minorHAnsi" w:hAnsiTheme="minorHAnsi"/>
        </w:rPr>
        <w:t>7.</w:t>
        <w:tab/>
        <w:t>Officers and the Committee</w:t>
      </w:r>
      <w:bookmarkEnd w:id="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Group and its property shall be administered and managed by a Committee comprising the officers appointed in accordance with Clause 9, ‘Appointment of the Committee’.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(2)</w:t>
        <w:tab/>
        <w:t>The Group shall have the following officers: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President.  The President shall oversee the organisation and management of the Group and the Committee as a whole; ensure the officers’ accountability to Members, the Committee, and the Students’ Union; and represent the Group to all external interests.</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Secretary.  The Secretary shall oversee the administration of the Group, take minutes at General Meetings and Meetings of the Committee, and maintain the register.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Treasurer.  The Treasurer shall oversee the financing of the Group, set the Group's budget, and maintain the accounts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Events Secretary.  The Events Secretary shall provide social and cultural pursuits for the Group’s Members on a large scale, such as Balls, sojourns, and theatre trips.  They shall also support, and be supported by, the Social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Welfare Officer.  The Welfare Officer shall provide welfare pursuits for the Group’s Members, and offer academic advice in conjunction with the course representatives of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(g)</w:t>
      </w:r>
      <w:r>
        <w:rPr>
          <w:rFonts w:cs="Tahoma" w:ascii="Calibri" w:hAnsi="Calibri" w:asciiTheme="minorHAnsi" w:hAnsiTheme="minorHAnsi"/>
          <w:sz w:val="23"/>
          <w:szCs w:val="23"/>
          <w:shd w:fill="auto" w:val="clear"/>
        </w:rPr>
        <w:tab/>
        <w:t xml:space="preserve">Publicity Officer </w:t>
      </w:r>
      <w:r>
        <w:rPr>
          <w:rFonts w:cs="Tahoma" w:ascii="Calibri" w:hAnsi="Calibri" w:asciiTheme="minorHAnsi" w:hAnsiTheme="minorHAnsi"/>
          <w:sz w:val="23"/>
          <w:szCs w:val="23"/>
          <w:shd w:fill="auto" w:val="clear"/>
        </w:rPr>
        <w:t xml:space="preserve">(Aka </w:t>
      </w:r>
      <w:r>
        <w:rPr>
          <w:rFonts w:eastAsia="Calibri" w:cs="Calibri" w:ascii="Calibri" w:hAnsi="Calibri"/>
          <w:sz w:val="22"/>
          <w:szCs w:val="22"/>
          <w:shd w:fill="auto" w:val="clear"/>
        </w:rPr>
        <w:t>Social Media Secretary. )</w:t>
      </w:r>
      <w:r>
        <w:rPr>
          <w:rFonts w:cs="Tahoma" w:ascii="Calibri" w:hAnsi="Calibri" w:asciiTheme="minorHAnsi" w:hAnsiTheme="minorHAnsi"/>
          <w:sz w:val="23"/>
          <w:szCs w:val="23"/>
          <w:shd w:fill="auto" w:val="clear"/>
        </w:rPr>
        <w:t>. The Publicity Officer shall communicate the Group’s activities to Members and the Students’ Union, a</w:t>
      </w:r>
      <w:r>
        <w:rPr>
          <w:rFonts w:eastAsia="Calibri" w:cs="Calibri" w:ascii="Calibri" w:hAnsi="Calibri"/>
          <w:sz w:val="22"/>
          <w:szCs w:val="22"/>
          <w:shd w:fill="auto" w:val="clear"/>
        </w:rPr>
        <w:t>s well as maintaining a consistent brand / presence on social media.</w:t>
      </w:r>
    </w:p>
    <w:p>
      <w:pPr>
        <w:pStyle w:val="Normal"/>
        <w:spacing w:lineRule="auto" w:line="276" w:before="0" w:after="100"/>
        <w:ind w:left="2268" w:hanging="566"/>
        <w:jc w:val="both"/>
        <w:rPr>
          <w:highlight w:val="none"/>
          <w:shd w:fill="auto" w:val="clear"/>
        </w:rPr>
      </w:pPr>
      <w:r>
        <w:rPr>
          <w:rFonts w:eastAsia="Calibri" w:cs="Calibri" w:ascii="Calibri" w:hAnsi="Calibri"/>
          <w:sz w:val="22"/>
          <w:szCs w:val="22"/>
          <w:shd w:fill="auto" w:val="clear"/>
        </w:rPr>
        <w:t>All committee positions have a secondary responsibility of aiding in the planning and hosting of socials, due to this being the main function of the society.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(3)</w:t>
        <w:tab/>
        <w:t>No one may be appointed a member of the Committee if they have been disqualified from becoming a member of the Committee under the provisions of Clause 13, ‘Disciplinary Action’.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 xml:space="preserve">The number of the Committee must not be less than three, though is not subject to any maximum.  There must always be: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 President;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Secretary;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a Treasurer.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An officer or ordinary member of the Committee shall cease to hold office if they: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ceases to be a Full Member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resigns by notice to the Group, or</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is removed from office by a resolution of the Members in General Meeting or a Meeting of the Committee, in accordance with Clause 13, ‘Disciplinary Action’.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7" w:name="_Toc369882033"/>
      <w:r>
        <w:rPr>
          <w:rFonts w:ascii="Calibri" w:hAnsi="Calibri" w:asciiTheme="minorHAnsi" w:hAnsiTheme="minorHAnsi"/>
        </w:rPr>
        <w:t>8.</w:t>
        <w:tab/>
        <w:t>Meetings of the Committee</w:t>
      </w:r>
      <w:bookmarkEnd w:id="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may regulate their proceedings as they think fit, subject to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Any member of the Committee may request the Secretary to call a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Secretary must call a Meeting of the Committee if requested to do so by a member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 xml:space="preserve">Meetings of the Committee shall usually be chaired by the person who has been elected as President.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quorum for a Meeting of the Committee shall be three members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No decision may be made by a Meeting of the Committee unless a quorum is present at the time the decision is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Decisions may only be made by at least a simple majority of votes at a quorate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(9) </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(10)</w:t>
        <w:tab/>
        <w:t>Minutes must be taken of all proceedings at a Meeting of the Committee, including the decisions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8" w:name="_Toc369882034"/>
      <w:r>
        <w:rPr>
          <w:rFonts w:ascii="Calibri" w:hAnsi="Calibri" w:asciiTheme="minorHAnsi" w:hAnsiTheme="minorHAnsi"/>
        </w:rPr>
        <w:t>9.</w:t>
        <w:tab/>
        <w:t>Appointment of the Committee</w:t>
      </w:r>
      <w:bookmarkEnd w:id="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Full Members of the Group in General Meeting shall appoint the officers and ordinary members of the Committee by election.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Elections for the Committee shall be held at an Annual General Meeting.  By-elections for vacant offices shall be held at an Extraordinary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First-Past-The-Post system shall be used for all elections.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all elections Re-Open Nominations, ‘RON’, shall be a candidate.  An election yielding a result of RON shall be re-run as a by-election.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w:t>
        <w:tab/>
        <w:t>A member of the Committee shall assume office with effect from the conclusion of the General Meeting of their appointment.</w:t>
      </w:r>
    </w:p>
    <w:p>
      <w:pPr>
        <w:pStyle w:val="Normal"/>
        <w:tabs>
          <w:tab w:val="clear" w:pos="720"/>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ab/>
        <w:t>(b)</w:t>
        <w:tab/>
        <w:t>A member of the Committee shall retire with effect from the conclusion of the AGM next after their appointment, but shall be eligible for re-election at that AGM.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 xml:space="preserve">The Committee must update their committee information on the Student Groups Hub provided by the Students’ Union at </w:t>
      </w:r>
      <w:hyperlink r:id="rId5">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 xml:space="preserve"> (or failing that inform the Students’ Union’s Student Groups Officer) within seven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 retiring member of the Committee must transfer all relevant information and documentation to their newly-elected counterpart, or to the President, within fourteen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9" w:name="_Toc369882035"/>
      <w:r>
        <w:rPr>
          <w:rFonts w:ascii="Calibri" w:hAnsi="Calibri" w:asciiTheme="minorHAnsi" w:hAnsiTheme="minorHAnsi"/>
        </w:rPr>
        <w:t>10.</w:t>
        <w:tab/>
        <w:t>Financial Management</w:t>
      </w:r>
      <w:bookmarkEnd w:id="9"/>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are jointly liable for the proper management of the Group’s finances.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income and property of the Group must be applied solely towards the promotion of the objects.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members of the Committee are entitled to be reimbursed from the property of the Group or may pay out of such property only for reasonable expenses properly incurred by them when acting on behalf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accounts of the Group, as maintained by the Treasurer, must be made available to the Students’ Union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0" w:name="_Toc369882036"/>
      <w:r>
        <w:rPr>
          <w:rFonts w:ascii="Calibri" w:hAnsi="Calibri" w:asciiTheme="minorHAnsi" w:hAnsiTheme="minorHAnsi"/>
        </w:rPr>
        <w:t>11.</w:t>
        <w:tab/>
        <w:t>Irregularities and Saving Provisions</w:t>
      </w:r>
      <w:bookmarkEnd w:id="10"/>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(1) </w:t>
        <w:tab/>
        <w:t>Subject to sub-clause (2) of this Clause, all acts done by a Meeting of the Committee shall be valid notwithstanding the participation in any vote of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who was disqualified from holding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who had previously retired or who had been obliged by this Constitution to vacate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who was not entitled to vote on the matter, whether by reason of a conflict of interests or otherwise.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(2) </w:t>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Members in General Meeting may only invalidate, as a Point of Order, a resolution or act of:</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Members in General Meeting;</w:t>
      </w:r>
    </w:p>
    <w:p>
      <w:pPr>
        <w:pStyle w:val="Normal"/>
        <w:spacing w:lineRule="auto" w:line="276" w:before="0" w:after="100"/>
        <w:ind w:left="1701"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if it may be demonstrated that a procedural defect in the same has materially prejudiced a Member of the Group.</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1" w:name="_Toc369882037"/>
      <w:r>
        <w:rPr>
          <w:rFonts w:ascii="Calibri" w:hAnsi="Calibri" w:asciiTheme="minorHAnsi" w:hAnsiTheme="minorHAnsi"/>
        </w:rPr>
        <w:t xml:space="preserve">12. </w:t>
        <w:tab/>
        <w:t>Conflicts of Interests and Conflicts of Loyalties</w:t>
      </w:r>
      <w:bookmarkEnd w:id="11"/>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A member of the Committee must: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Any member of the Committee absenting themselves from any discussions in accordance with this Clause must not vote or be counted as part of the quorum in any decision of the Committee on the matter.</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rPr>
      </w:pPr>
      <w:bookmarkStart w:id="12" w:name="_Toc369882038"/>
      <w:r>
        <w:rPr>
          <w:rFonts w:ascii="Calibri" w:hAnsi="Calibri" w:asciiTheme="minorHAnsi" w:hAnsiTheme="minorHAnsi"/>
          <w:caps/>
        </w:rPr>
        <w:t>13.</w:t>
        <w:tab/>
      </w:r>
      <w:r>
        <w:rPr>
          <w:rFonts w:ascii="Calibri" w:hAnsi="Calibri" w:asciiTheme="minorHAnsi" w:hAnsiTheme="minorHAnsi"/>
        </w:rPr>
        <w:t>Disciplinary Action</w:t>
      </w:r>
      <w:bookmarkEnd w:id="12"/>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Disciplinary action may be taken against any Member of the Group as a consequence of conduct: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detrimental to the reputation of the Group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opposed to the objects of the Group (see clause 2)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contravention of any provision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Disciplinary action that may be taken against any Member may be, but is not limited to:</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issue of a formal written warning.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partial or total ban from certain Group activities.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disqualification from becoming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removal of a member of the Committee from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temporary or permanent revocation of Membership.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referral of the complaint to the Students’ Union’s Disciplinary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Any disciplinary hearing must be conducted in an impartial, balanced, and fair manner, considering all representations on the matter.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All disciplinary action must be subject to prior discussion with the Students’ Union’s Vice President Activities.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Members subject to disciplinary action have the right of appeal to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A full report of all disciplinary action taken by the Group in the previous year must be presented at the AGM.</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3" w:name="_Toc369882039"/>
      <w:r>
        <w:rPr>
          <w:rFonts w:ascii="Calibri" w:hAnsi="Calibri" w:asciiTheme="minorHAnsi" w:hAnsiTheme="minorHAnsi"/>
        </w:rPr>
        <w:t>14.</w:t>
        <w:tab/>
      </w:r>
      <w:r>
        <w:rPr>
          <w:rFonts w:ascii="Calibri" w:hAnsi="Calibri" w:asciiTheme="minorHAnsi" w:hAnsiTheme="minorHAnsi"/>
          <w:caps/>
        </w:rPr>
        <w:t>A</w:t>
      </w:r>
      <w:r>
        <w:rPr>
          <w:rFonts w:ascii="Calibri" w:hAnsi="Calibri" w:asciiTheme="minorHAnsi" w:hAnsiTheme="minorHAnsi"/>
        </w:rPr>
        <w:t>ffiliation to External Organisations</w:t>
      </w:r>
      <w:bookmarkEnd w:id="13"/>
    </w:p>
    <w:p>
      <w:pPr>
        <w:pStyle w:val="ListParagraph"/>
        <w:spacing w:lineRule="auto" w:line="276" w:before="0" w:after="100"/>
        <w:ind w:left="1701" w:hanging="1134"/>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Group may only become an affiliate of an external organisation if:</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aims of that organisation are in line with those of the Group;</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the Members derive a direct benefit from the affiliation;</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no Policy of the Students’ Union is breached by the affiliation;</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a resolution to affiliate is passed by the Members in General Meeting.</w:t>
      </w:r>
    </w:p>
    <w:p>
      <w:pPr>
        <w:pStyle w:val="ListParagraph"/>
        <w:spacing w:lineRule="auto" w:line="276" w:before="0" w:after="100"/>
        <w:ind w:left="1701" w:hanging="1134"/>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Group’s affiliation to an external organisation shall immediately lapse:</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at the conclusion of each Annual General Meeting after affiliation, unless the Members in General Meeting resolve to re-affiliate at each AGM in accordance with sub-clause (1) of this Clause.</w:t>
      </w:r>
    </w:p>
    <w:p>
      <w:pPr>
        <w:pStyle w:val="ListParagraph"/>
        <w:spacing w:lineRule="auto" w:line="276" w:before="0" w:after="100"/>
        <w:ind w:left="2268" w:hanging="567"/>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a resolution to disaffiliate is passed by the Members in General Meeting.</w:t>
      </w:r>
    </w:p>
    <w:p>
      <w:pPr>
        <w:pStyle w:val="ListParagraph"/>
        <w:spacing w:lineRule="auto" w:line="276" w:before="0" w:after="100"/>
        <w:ind w:left="1701" w:hanging="1134"/>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All external affiliations and disaffiliations must be reported to the Students’ Union’s Student Groups Committee within seven days.</w:t>
      </w:r>
    </w:p>
    <w:p>
      <w:pPr>
        <w:pStyle w:val="ListParagraph"/>
        <w:spacing w:lineRule="auto" w:line="276" w:before="0" w:after="100"/>
        <w:ind w:left="1701" w:hanging="1134"/>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For the avoidance of doubt, the Students’ Union is not an external organisation for the purposes of this Clause.</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4" w:name="_Toc369882040"/>
      <w:r>
        <w:rPr>
          <w:rFonts w:ascii="Calibri" w:hAnsi="Calibri" w:asciiTheme="minorHAnsi" w:hAnsiTheme="minorHAnsi"/>
        </w:rPr>
        <w:t xml:space="preserve">15. </w:t>
        <w:tab/>
        <w:t>Amendment to the Constitution</w:t>
      </w:r>
      <w:bookmarkEnd w:id="14"/>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Group may amend any provision contained in this Constitution provided that: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amendments do not:</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w:t>
        <w:tab/>
        <w:t>alter the objects in such a way that undermines or works against the previous objects of the Group;</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(ii)</w:t>
        <w:tab/>
        <w:t>retrospectively invalidate any prior act of the Members in General Meeting or a Meeting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resolution to amend a provision of this Constitution is passed by at least a two-thirds majority of the Full Members present at a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a copy of the resolution amending this Constitution is sent to the Students’ Union within seven days of it being passed;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the resolution is ratified by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provisions of this Constitution shall be subordinate to those of the Articles, Rules, By-Laws and Policies of the Students’ Union.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Committee and the Students’ Union shall retain a copy of this Constitution, which the Committee must make available to Members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5" w:name="_Toc369882041"/>
      <w:r>
        <w:rPr>
          <w:rFonts w:ascii="Calibri" w:hAnsi="Calibri" w:asciiTheme="minorHAnsi" w:hAnsiTheme="minorHAnsi"/>
        </w:rPr>
        <w:t xml:space="preserve">16. </w:t>
        <w:tab/>
        <w:t>Dissolution</w:t>
      </w:r>
      <w:bookmarkEnd w:id="15"/>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If the Members resolve to dissolve the Group, the Committee will remain in office and be responsible for winding up the affairs of the Group in accordance with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 resolution to dissolve the Group must be passed by at least a two-thirds majority of the Full Members present at a General Meeting;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Committee must collect in all the assets of the Group and must pay or make provision for all the liabilities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must apply any remaining property or money: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directly for the objects;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by transfer to any Group or Societies for purposes the same as or similar to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in such other manner as the Students’ Union’s Student Groups Committee may approve in writing in advance.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In no circumstances shall the net assets of the Group be paid to or distributed among the Members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 xml:space="preserve">The Committee must ensure the register and all other data held by the Group are securely destroyed upon the dissolution of the Group.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6" w:name="_Toc369882042"/>
      <w:r>
        <w:rPr>
          <w:rFonts w:ascii="Calibri" w:hAnsi="Calibri" w:asciiTheme="minorHAnsi" w:hAnsiTheme="minorHAnsi"/>
        </w:rPr>
        <w:t>17.</w:t>
        <w:tab/>
        <w:t>Interpretation</w:t>
      </w:r>
      <w:bookmarkEnd w:id="1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In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University’ means ‘the University of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‘University term’ and ‘academic year’ have the definitions set out in the University Calendar and Almanac.</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‘Financial benefit’ means a benefit, direct or indirect, which is either money or has a monetary value.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Students’ Union’ means ‘The University of Southampton Students’ Union’, trading as ‘Union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
        <w:spacing w:lineRule="auto" w:line="276" w:before="0" w:after="100"/>
        <w:ind w:left="567"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7" w:name="_Toc369882043"/>
      <w:r>
        <w:rPr>
          <w:rFonts w:ascii="Calibri" w:hAnsi="Calibri" w:asciiTheme="minorHAnsi" w:hAnsiTheme="minorHAnsi"/>
        </w:rPr>
        <w:t>18.</w:t>
        <w:tab/>
        <w:t>Declaration</w:t>
      </w:r>
      <w:bookmarkEnd w:id="17"/>
    </w:p>
    <w:tbl>
      <w:tblPr>
        <w:tblStyle w:val="TableGrid"/>
        <w:tblW w:w="9214" w:type="dxa"/>
        <w:jc w:val="left"/>
        <w:tblInd w:w="567" w:type="dxa"/>
        <w:tblLayout w:type="fixed"/>
        <w:tblCellMar>
          <w:top w:w="0" w:type="dxa"/>
          <w:left w:w="0" w:type="dxa"/>
          <w:bottom w:w="0" w:type="dxa"/>
          <w:right w:w="0" w:type="dxa"/>
        </w:tblCellMar>
        <w:tblLook w:val="04a0" w:noHBand="0" w:noVBand="1" w:firstColumn="1" w:lastRow="0" w:lastColumn="0" w:firstRow="1"/>
      </w:tblPr>
      <w:tblGrid>
        <w:gridCol w:w="1298"/>
        <w:gridCol w:w="7915"/>
      </w:tblGrid>
      <w:tr>
        <w:trPr/>
        <w:tc>
          <w:tcPr>
            <w:tcW w:w="9213" w:type="dxa"/>
            <w:gridSpan w:val="2"/>
            <w:tcBorders>
              <w:top w:val="nil"/>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The Members of the Group in General Meeting Adopted this Constitution:</w:t>
            </w:r>
          </w:p>
        </w:tc>
      </w:tr>
      <w:tr>
        <w:trPr/>
        <w:tc>
          <w:tcPr>
            <w:tcW w:w="1298" w:type="dxa"/>
            <w:vMerge w:val="restart"/>
            <w:tcBorders>
              <w:top w:val="nil"/>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c>
          <w:tcPr>
            <w:tcW w:w="7915" w:type="dxa"/>
            <w:tcBorders>
              <w:top w:val="nil"/>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 xml:space="preserve">Date </w:t>
            </w:r>
            <w:r>
              <w:rPr>
                <w:rFonts w:cs="Tahoma" w:ascii="Calibri" w:hAnsi="Calibri" w:asciiTheme="minorHAnsi" w:hAnsiTheme="minorHAnsi"/>
                <w:kern w:val="0"/>
                <w:sz w:val="23"/>
                <w:szCs w:val="23"/>
                <w:lang w:val="en-GB" w:eastAsia="en-GB" w:bidi="ar-SA"/>
              </w:rPr>
              <w:t>01/06/23</w:t>
            </w:r>
          </w:p>
        </w:tc>
      </w:tr>
      <w:tr>
        <w:trPr/>
        <w:tc>
          <w:tcPr>
            <w:tcW w:w="1298" w:type="dxa"/>
            <w:vMerge w:val="continue"/>
            <w:tcBorders>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c>
          <w:tcPr>
            <w:tcW w:w="7915" w:type="dxa"/>
            <w:tcBorders>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 xml:space="preserve">President </w:t>
            </w:r>
            <w:r>
              <w:rPr>
                <w:rFonts w:cs="Tahoma" w:ascii="Calibri" w:hAnsi="Calibri" w:asciiTheme="minorHAnsi" w:hAnsiTheme="minorHAnsi"/>
                <w:kern w:val="0"/>
                <w:sz w:val="23"/>
                <w:szCs w:val="23"/>
                <w:lang w:val="en-GB" w:eastAsia="en-GB" w:bidi="ar-SA"/>
              </w:rPr>
              <w:t>Jack Hetherington</w:t>
            </w:r>
          </w:p>
        </w:tc>
      </w:tr>
      <w:tr>
        <w:trPr/>
        <w:tc>
          <w:tcPr>
            <w:tcW w:w="1298" w:type="dxa"/>
            <w:vMerge w:val="continue"/>
            <w:tcBorders>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c>
          <w:tcPr>
            <w:tcW w:w="7915" w:type="dxa"/>
            <w:tcBorders>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 xml:space="preserve">Secretary </w:t>
            </w:r>
            <w:bookmarkStart w:id="18" w:name="_GoBack"/>
            <w:bookmarkEnd w:id="18"/>
            <w:r>
              <w:rPr>
                <w:rFonts w:cs="Tahoma" w:ascii="Calibri" w:hAnsi="Calibri" w:asciiTheme="minorHAnsi" w:hAnsiTheme="minorHAnsi"/>
                <w:kern w:val="0"/>
                <w:sz w:val="23"/>
                <w:szCs w:val="23"/>
                <w:lang w:val="en-GB" w:eastAsia="en-GB" w:bidi="ar-SA"/>
              </w:rPr>
              <w:t>Sunny Angel</w:t>
            </w:r>
          </w:p>
        </w:tc>
      </w:tr>
      <w:tr>
        <w:trPr/>
        <w:tc>
          <w:tcPr>
            <w:tcW w:w="9213" w:type="dxa"/>
            <w:gridSpan w:val="2"/>
            <w:tcBorders>
              <w:top w:val="nil"/>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r>
      <w:tr>
        <w:trPr/>
        <w:tc>
          <w:tcPr>
            <w:tcW w:w="9213" w:type="dxa"/>
            <w:gridSpan w:val="2"/>
            <w:tcBorders>
              <w:top w:val="nil"/>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The Students’ Union Approved this Constitution:</w:t>
            </w:r>
          </w:p>
        </w:tc>
      </w:tr>
      <w:tr>
        <w:trPr/>
        <w:tc>
          <w:tcPr>
            <w:tcW w:w="1298" w:type="dxa"/>
            <w:vMerge w:val="restart"/>
            <w:tcBorders>
              <w:top w:val="nil"/>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c>
          <w:tcPr>
            <w:tcW w:w="7915" w:type="dxa"/>
            <w:tcBorders>
              <w:top w:val="nil"/>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Date</w:t>
            </w:r>
          </w:p>
        </w:tc>
      </w:tr>
      <w:tr>
        <w:trPr/>
        <w:tc>
          <w:tcPr>
            <w:tcW w:w="1298" w:type="dxa"/>
            <w:vMerge w:val="continue"/>
            <w:tcBorders>
              <w:left w:val="nil"/>
              <w:bottom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tc>
        <w:tc>
          <w:tcPr>
            <w:tcW w:w="7915" w:type="dxa"/>
            <w:tcBorders>
              <w:left w:val="nil"/>
              <w:right w:val="nil"/>
            </w:tcBorders>
          </w:tcPr>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sz w:val="23"/>
                <w:szCs w:val="23"/>
              </w:rPr>
            </w:r>
          </w:p>
          <w:p>
            <w:pPr>
              <w:pStyle w:val="Normal"/>
              <w:widowControl w:val="false"/>
              <w:suppressAutoHyphens w:val="true"/>
              <w:spacing w:lineRule="auto" w:line="276" w:before="0" w:after="100"/>
              <w:jc w:val="left"/>
              <w:rPr>
                <w:rFonts w:ascii="Calibri" w:hAnsi="Calibri" w:cs="Tahoma" w:asciiTheme="minorHAnsi" w:hAnsiTheme="minorHAnsi"/>
                <w:sz w:val="23"/>
                <w:szCs w:val="23"/>
              </w:rPr>
            </w:pPr>
            <w:r>
              <w:rPr>
                <w:rFonts w:cs="Tahoma" w:ascii="Calibri" w:hAnsi="Calibri" w:asciiTheme="minorHAnsi" w:hAnsiTheme="minorHAnsi"/>
                <w:kern w:val="0"/>
                <w:sz w:val="23"/>
                <w:szCs w:val="23"/>
                <w:lang w:val="en-GB" w:eastAsia="en-GB" w:bidi="ar-SA"/>
              </w:rPr>
              <w:t>Vice President Activities</w:t>
            </w:r>
          </w:p>
        </w:tc>
      </w:tr>
    </w:tbl>
    <w:p>
      <w:pPr>
        <w:pStyle w:val="Normal"/>
        <w:spacing w:lineRule="auto" w:line="276" w:before="0" w:after="100"/>
        <w:rPr>
          <w:rFonts w:ascii="Calibri" w:hAnsi="Calibri" w:asciiTheme="minorHAnsi" w:hAnsiTheme="minorHAnsi"/>
          <w:sz w:val="2"/>
          <w:szCs w:val="2"/>
        </w:rPr>
      </w:pPr>
      <w:r>
        <w:rPr>
          <w:rFonts w:asciiTheme="minorHAnsi" w:hAnsiTheme="minorHAnsi" w:ascii="Calibri" w:hAnsi="Calibri"/>
          <w:sz w:val="2"/>
          <w:szCs w:val="2"/>
        </w:rPr>
      </w:r>
    </w:p>
    <w:p>
      <w:pPr>
        <w:pStyle w:val="Normal"/>
        <w:spacing w:lineRule="auto" w:line="276" w:before="0" w:after="200"/>
        <w:rPr>
          <w:rFonts w:ascii="Calibri" w:hAnsi="Calibri" w:asciiTheme="minorHAnsi" w:hAnsiTheme="minorHAnsi"/>
          <w:sz w:val="2"/>
          <w:szCs w:val="2"/>
        </w:rPr>
      </w:pPr>
      <w:r>
        <w:rPr/>
        <mc:AlternateContent>
          <mc:Choice Requires="wps">
            <w:drawing>
              <wp:anchor behindDoc="0" distT="9525" distB="6350" distL="6985" distR="8890" simplePos="0" locked="0" layoutInCell="0" allowOverlap="1" relativeHeight="14" wp14:anchorId="4AF71A52">
                <wp:simplePos x="0" y="0"/>
                <wp:positionH relativeFrom="rightMargin">
                  <wp:posOffset>1664335</wp:posOffset>
                </wp:positionH>
                <wp:positionV relativeFrom="page">
                  <wp:align>top</wp:align>
                </wp:positionV>
                <wp:extent cx="270510" cy="270510"/>
                <wp:effectExtent l="1905" t="1905" r="1905" b="1905"/>
                <wp:wrapNone/>
                <wp:docPr id="4" name="Rectangle 3"/>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175">
                          <a:solidFill>
                            <a:srgbClr val="000000"/>
                          </a:solidFill>
                          <a:miter/>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o:allowincell="f" style="position:absolute;margin-left:131.05pt;margin-top:0.75pt;width:21.25pt;height:21.25pt;mso-wrap-style:none;v-text-anchor:middle;mso-position-horizontal-relative:page;mso-position-vertical:top;mso-position-vertical-relative:page" wp14:anchorId="4AF71A52">
                <v:fill o:detectmouseclick="t" type="solid" color2="black"/>
                <v:stroke color="black" weight="3240" joinstyle="miter" endcap="flat"/>
                <w10:wrap type="none"/>
              </v:rect>
            </w:pict>
          </mc:Fallback>
        </mc:AlternateContent>
      </w:r>
    </w:p>
    <w:sectPr>
      <w:headerReference w:type="default" r:id="rId6"/>
      <w:footerReference w:type="default" r:id="rId7"/>
      <w:type w:val="nextPage"/>
      <w:pgSz w:w="11906" w:h="16838"/>
      <w:pgMar w:left="1080" w:right="1080" w:gutter="0" w:header="708" w:top="1440" w:footer="1853" w:bottom="19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513"/>
        <w:tab w:val="clear" w:pos="9026"/>
      </w:tabs>
      <w:jc w:val="center"/>
      <w:rPr>
        <w:rFonts w:ascii="Calibri" w:hAnsi="Calibri" w:cs="Tahoma" w:asciiTheme="minorHAnsi" w:hAnsiTheme="minorHAnsi"/>
        <w:szCs w:val="18"/>
      </w:rPr>
    </w:pPr>
    <w:r>
      <w:rPr>
        <w:rFonts w:cs="Tahoma" w:ascii="Calibri" w:hAnsi="Calibri" w:asciiTheme="minorHAnsi" w:hAnsiTheme="minorHAnsi"/>
        <w:szCs w:val="18"/>
      </w:rPr>
      <w:t xml:space="preserve">Page </w:t>
    </w:r>
    <w:r>
      <w:rPr>
        <w:rFonts w:cs="Tahoma" w:ascii="Calibri" w:hAnsi="Calibri"/>
        <w:b/>
        <w:szCs w:val="18"/>
      </w:rPr>
      <w:fldChar w:fldCharType="begin"/>
    </w:r>
    <w:r>
      <w:rPr>
        <w:b/>
        <w:szCs w:val="18"/>
        <w:rFonts w:cs="Tahoma" w:ascii="Calibri" w:hAnsi="Calibri"/>
      </w:rPr>
      <w:instrText xml:space="preserve"> PAGE </w:instrText>
    </w:r>
    <w:r>
      <w:rPr>
        <w:b/>
        <w:szCs w:val="18"/>
        <w:rFonts w:cs="Tahoma" w:ascii="Calibri" w:hAnsi="Calibri"/>
      </w:rPr>
      <w:fldChar w:fldCharType="separate"/>
    </w:r>
    <w:r>
      <w:rPr>
        <w:b/>
        <w:szCs w:val="18"/>
        <w:rFonts w:cs="Tahoma" w:ascii="Calibri" w:hAnsi="Calibri"/>
      </w:rPr>
      <w:t>11</w:t>
    </w:r>
    <w:r>
      <w:rPr>
        <w:b/>
        <w:szCs w:val="18"/>
        <w:rFonts w:cs="Tahoma" w:ascii="Calibri" w:hAnsi="Calibri"/>
      </w:rPr>
      <w:fldChar w:fldCharType="end"/>
    </w:r>
    <w:r>
      <w:rPr>
        <w:rFonts w:cs="Tahoma" w:ascii="Calibri" w:hAnsi="Calibri" w:asciiTheme="minorHAnsi" w:hAnsiTheme="minorHAnsi"/>
        <w:szCs w:val="18"/>
      </w:rPr>
      <w:t xml:space="preserve"> of </w:t>
    </w:r>
    <w:r>
      <w:rPr>
        <w:rFonts w:cs="Tahoma" w:ascii="Calibri" w:hAnsi="Calibri"/>
        <w:b/>
        <w:szCs w:val="18"/>
      </w:rPr>
      <w:fldChar w:fldCharType="begin"/>
    </w:r>
    <w:r>
      <w:rPr>
        <w:b/>
        <w:szCs w:val="18"/>
        <w:rFonts w:cs="Tahoma" w:ascii="Calibri" w:hAnsi="Calibri"/>
      </w:rPr>
      <w:instrText xml:space="preserve"> NUMPAGES </w:instrText>
    </w:r>
    <w:r>
      <w:rPr>
        <w:b/>
        <w:szCs w:val="18"/>
        <w:rFonts w:cs="Tahoma" w:ascii="Calibri" w:hAnsi="Calibri"/>
      </w:rPr>
      <w:fldChar w:fldCharType="separate"/>
    </w:r>
    <w:r>
      <w:rPr>
        <w:b/>
        <w:szCs w:val="18"/>
        <w:rFonts w:cs="Tahoma" w:ascii="Calibri" w:hAnsi="Calibri"/>
      </w:rPr>
      <w:t>11</w:t>
    </w:r>
    <w:r>
      <w:rPr>
        <w:b/>
        <w:szCs w:val="18"/>
        <w:rFonts w:cs="Tahoma"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12">
          <wp:simplePos x="0" y="0"/>
          <wp:positionH relativeFrom="column">
            <wp:posOffset>-691515</wp:posOffset>
          </wp:positionH>
          <wp:positionV relativeFrom="paragraph">
            <wp:posOffset>-461645</wp:posOffset>
          </wp:positionV>
          <wp:extent cx="7566025" cy="10700385"/>
          <wp:effectExtent l="0" t="0" r="0" b="0"/>
          <wp:wrapNone/>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1"/>
                  <a:stretch>
                    <a:fillRect/>
                  </a:stretch>
                </pic:blipFill>
                <pic:spPr bwMode="auto">
                  <a:xfrm>
                    <a:off x="0" y="0"/>
                    <a:ext cx="7566025" cy="107003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160" w:hanging="360"/>
      </w:pPr>
      <w:rPr/>
    </w:lvl>
    <w:lvl w:ilvl="1">
      <w:start w:val="1"/>
      <w:numFmt w:val="lowerLetter"/>
      <w:lvlText w:val="%2."/>
      <w:lvlJc w:val="left"/>
      <w:pPr>
        <w:tabs>
          <w:tab w:val="num" w:pos="0"/>
        </w:tabs>
        <w:ind w:left="2880" w:hanging="360"/>
      </w:pPr>
      <w:rPr/>
    </w:lvl>
    <w:lvl w:ilvl="2">
      <w:start w:val="1"/>
      <w:numFmt w:val="lowerRoman"/>
      <w:lvlText w:val="%3."/>
      <w:lvlJc w:val="right"/>
      <w:pPr>
        <w:tabs>
          <w:tab w:val="num" w:pos="0"/>
        </w:tabs>
        <w:ind w:left="3600" w:hanging="180"/>
      </w:pPr>
      <w:rPr/>
    </w:lvl>
    <w:lvl w:ilvl="3">
      <w:start w:val="1"/>
      <w:numFmt w:val="decimal"/>
      <w:lvlText w:val="%4."/>
      <w:lvlJc w:val="left"/>
      <w:pPr>
        <w:tabs>
          <w:tab w:val="num" w:pos="0"/>
        </w:tabs>
        <w:ind w:left="4320" w:hanging="360"/>
      </w:pPr>
      <w:rPr/>
    </w:lvl>
    <w:lvl w:ilvl="4">
      <w:start w:val="1"/>
      <w:numFmt w:val="lowerLetter"/>
      <w:lvlText w:val="%5."/>
      <w:lvlJc w:val="left"/>
      <w:pPr>
        <w:tabs>
          <w:tab w:val="num" w:pos="0"/>
        </w:tabs>
        <w:ind w:left="5040" w:hanging="360"/>
      </w:pPr>
      <w:rPr/>
    </w:lvl>
    <w:lvl w:ilvl="5">
      <w:start w:val="1"/>
      <w:numFmt w:val="lowerRoman"/>
      <w:lvlText w:val="%6."/>
      <w:lvlJc w:val="right"/>
      <w:pPr>
        <w:tabs>
          <w:tab w:val="num" w:pos="0"/>
        </w:tabs>
        <w:ind w:left="5760" w:hanging="180"/>
      </w:pPr>
      <w:rPr/>
    </w:lvl>
    <w:lvl w:ilvl="6">
      <w:start w:val="1"/>
      <w:numFmt w:val="decimal"/>
      <w:lvlText w:val="%7."/>
      <w:lvlJc w:val="left"/>
      <w:pPr>
        <w:tabs>
          <w:tab w:val="num" w:pos="0"/>
        </w:tabs>
        <w:ind w:left="6480" w:hanging="360"/>
      </w:pPr>
      <w:rPr/>
    </w:lvl>
    <w:lvl w:ilvl="7">
      <w:start w:val="1"/>
      <w:numFmt w:val="lowerLetter"/>
      <w:lvlText w:val="%8."/>
      <w:lvlJc w:val="left"/>
      <w:pPr>
        <w:tabs>
          <w:tab w:val="num" w:pos="0"/>
        </w:tabs>
        <w:ind w:left="7200" w:hanging="360"/>
      </w:pPr>
      <w:rPr/>
    </w:lvl>
    <w:lvl w:ilvl="8">
      <w:start w:val="1"/>
      <w:numFmt w:val="lowerRoman"/>
      <w:lvlText w:val="%9."/>
      <w:lvlJc w:val="right"/>
      <w:pPr>
        <w:tabs>
          <w:tab w:val="num" w:pos="0"/>
        </w:tabs>
        <w:ind w:left="792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79ae"/>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link w:val="Heading1Char"/>
    <w:qFormat/>
    <w:rsid w:val="004e4e83"/>
    <w:pPr>
      <w:keepNext w:val="true"/>
      <w:keepLines/>
      <w:spacing w:lineRule="auto" w:line="276" w:before="0" w:after="100"/>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uiPriority w:val="99"/>
    <w:semiHidden/>
    <w:qFormat/>
    <w:rsid w:val="004550a8"/>
    <w:rPr>
      <w:rFonts w:ascii="Times New Roman" w:hAnsi="Times New Roman"/>
      <w:sz w:val="20"/>
      <w:szCs w:val="20"/>
    </w:rPr>
  </w:style>
  <w:style w:type="character" w:styleId="Heading1Char" w:customStyle="1">
    <w:name w:val="Heading 1 Char"/>
    <w:basedOn w:val="DefaultParagraphFont"/>
    <w:link w:val="Heading1"/>
    <w:qFormat/>
    <w:rsid w:val="004e4e83"/>
    <w:rPr>
      <w:rFonts w:ascii="Georgia" w:hAnsi="Georgia" w:eastAsia="Times New Roman" w:cs="Tahoma"/>
      <w:b/>
      <w:bCs/>
      <w:sz w:val="23"/>
      <w:szCs w:val="23"/>
    </w:rPr>
  </w:style>
  <w:style w:type="character" w:styleId="Lead-inEmphasis" w:customStyle="1">
    <w:name w:val="Lead-in Emphasis"/>
    <w:qFormat/>
    <w:rsid w:val="00c479ae"/>
    <w:rPr>
      <w:rFonts w:ascii="Arial" w:hAnsi="Arial"/>
      <w:b/>
      <w:spacing w:val="-4"/>
    </w:rPr>
  </w:style>
  <w:style w:type="character" w:styleId="InternetLink">
    <w:name w:val="Hyperlink"/>
    <w:basedOn w:val="DefaultParagraphFont"/>
    <w:uiPriority w:val="99"/>
    <w:rsid w:val="00c479ae"/>
    <w:rPr>
      <w:color w:val="0000FF"/>
      <w:u w:val="single"/>
    </w:rPr>
  </w:style>
  <w:style w:type="character" w:styleId="HeaderChar" w:customStyle="1">
    <w:name w:val="Header Char"/>
    <w:basedOn w:val="DefaultParagraphFont"/>
    <w:link w:val="Header"/>
    <w:uiPriority w:val="99"/>
    <w:qFormat/>
    <w:rsid w:val="00c479ae"/>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c479ae"/>
    <w:rPr>
      <w:rFonts w:ascii="Times New Roman" w:hAnsi="Times New Roman" w:eastAsia="Times New Roman" w:cs="Times New Roman"/>
      <w:sz w:val="20"/>
      <w:szCs w:val="20"/>
    </w:rPr>
  </w:style>
  <w:style w:type="character" w:styleId="Annotationreference">
    <w:name w:val="annotation reference"/>
    <w:basedOn w:val="DefaultParagraphFont"/>
    <w:uiPriority w:val="99"/>
    <w:semiHidden/>
    <w:unhideWhenUsed/>
    <w:qFormat/>
    <w:rsid w:val="00b70a74"/>
    <w:rPr>
      <w:sz w:val="16"/>
      <w:szCs w:val="16"/>
    </w:rPr>
  </w:style>
  <w:style w:type="character" w:styleId="CommentTextChar" w:customStyle="1">
    <w:name w:val="Comment Text Char"/>
    <w:basedOn w:val="DefaultParagraphFont"/>
    <w:uiPriority w:val="99"/>
    <w:semiHidden/>
    <w:qFormat/>
    <w:rsid w:val="00b70a74"/>
    <w:rPr>
      <w:rFonts w:ascii="Times New Roman" w:hAnsi="Times New Roman" w:eastAsia="Times New Roman" w:cs="Times New Roman"/>
      <w:sz w:val="20"/>
      <w:szCs w:val="20"/>
    </w:rPr>
  </w:style>
  <w:style w:type="character" w:styleId="CommentSubjectChar" w:customStyle="1">
    <w:name w:val="Comment Subject Char"/>
    <w:basedOn w:val="CommentTextChar"/>
    <w:uiPriority w:val="99"/>
    <w:semiHidden/>
    <w:qFormat/>
    <w:rsid w:val="00b70a74"/>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b70a74"/>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Footnote">
    <w:name w:val="Footnote Text"/>
    <w:basedOn w:val="Normal"/>
    <w:link w:val="FootnoteTextChar"/>
    <w:uiPriority w:val="99"/>
    <w:semiHidden/>
    <w:unhideWhenUsed/>
    <w:rsid w:val="004550a8"/>
    <w:pPr>
      <w:jc w:val="both"/>
    </w:pPr>
    <w:rPr/>
  </w:style>
  <w:style w:type="paragraph" w:styleId="ListParagraph">
    <w:name w:val="List Paragraph"/>
    <w:basedOn w:val="Normal"/>
    <w:qFormat/>
    <w:rsid w:val="00c479ae"/>
    <w:pPr>
      <w:spacing w:before="0" w:after="0"/>
      <w:ind w:left="720" w:hanging="0"/>
      <w:contextualSpacing/>
    </w:pPr>
    <w:rPr/>
  </w:style>
  <w:style w:type="paragraph" w:styleId="Contents1">
    <w:name w:val="TOC 1"/>
    <w:basedOn w:val="Normal"/>
    <w:next w:val="Normal"/>
    <w:uiPriority w:val="39"/>
    <w:rsid w:val="00c479ae"/>
    <w:pPr>
      <w:tabs>
        <w:tab w:val="clear" w:pos="720"/>
        <w:tab w:val="left" w:pos="567" w:leader="none"/>
        <w:tab w:val="right" w:pos="9736" w:leader="dot"/>
      </w:tabs>
      <w:spacing w:lineRule="auto" w:line="276" w:before="0" w:after="100"/>
    </w:pPr>
    <w:rPr>
      <w:rFonts w:ascii="Tahoma" w:hAnsi="Tahoma"/>
      <w:sz w:val="23"/>
      <w:szCs w:val="22"/>
      <w:lang w:val="en-US" w:eastAsia="ja-JP"/>
    </w:rPr>
  </w:style>
  <w:style w:type="paragraph" w:styleId="HeaderandFooter">
    <w:name w:val="Header and Footer"/>
    <w:basedOn w:val="Normal"/>
    <w:qFormat/>
    <w:pPr/>
    <w:rPr/>
  </w:style>
  <w:style w:type="paragraph" w:styleId="Header">
    <w:name w:val="Header"/>
    <w:basedOn w:val="Normal"/>
    <w:link w:val="HeaderChar"/>
    <w:uiPriority w:val="99"/>
    <w:unhideWhenUsed/>
    <w:rsid w:val="00c479ae"/>
    <w:pPr>
      <w:tabs>
        <w:tab w:val="clear" w:pos="720"/>
        <w:tab w:val="center" w:pos="4513" w:leader="none"/>
        <w:tab w:val="right" w:pos="9026" w:leader="none"/>
      </w:tabs>
    </w:pPr>
    <w:rPr/>
  </w:style>
  <w:style w:type="paragraph" w:styleId="Footer">
    <w:name w:val="Footer"/>
    <w:basedOn w:val="Normal"/>
    <w:link w:val="FooterChar"/>
    <w:unhideWhenUsed/>
    <w:rsid w:val="00c479ae"/>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b70a74"/>
    <w:pPr/>
    <w:rPr/>
  </w:style>
  <w:style w:type="paragraph" w:styleId="Annotationsubject">
    <w:name w:val="annotation subject"/>
    <w:basedOn w:val="Annotationtext"/>
    <w:next w:val="Annotationtext"/>
    <w:link w:val="CommentSubjectChar"/>
    <w:uiPriority w:val="99"/>
    <w:semiHidden/>
    <w:unhideWhenUsed/>
    <w:qFormat/>
    <w:rsid w:val="00b70a74"/>
    <w:pPr/>
    <w:rPr>
      <w:b/>
      <w:bCs/>
    </w:rPr>
  </w:style>
  <w:style w:type="paragraph" w:styleId="BalloonText">
    <w:name w:val="Balloon Text"/>
    <w:basedOn w:val="Normal"/>
    <w:link w:val="BalloonTextChar"/>
    <w:uiPriority w:val="99"/>
    <w:semiHidden/>
    <w:unhideWhenUsed/>
    <w:qFormat/>
    <w:rsid w:val="00b70a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479ae"/>
    <w:rPr>
      <w:lang w:eastAsia="en-GB"/>
      <w:sz w:val="20"/>
      <w:szCs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ocracy@susu.org" TargetMode="External"/><Relationship Id="rId3" Type="http://schemas.openxmlformats.org/officeDocument/2006/relationships/hyperlink" Target="mailto:democracy@susu.org" TargetMode="External"/><Relationship Id="rId4" Type="http://schemas.openxmlformats.org/officeDocument/2006/relationships/hyperlink" Target="http://www.susu.org/" TargetMode="External"/><Relationship Id="rId5" Type="http://schemas.openxmlformats.org/officeDocument/2006/relationships/hyperlink" Target="http://www.susu.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02F1-FD65-4A04-A6BC-D2AAE2AD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LibreOffice/7.5.3.2$Linux_X86_64 LibreOffice_project/50$Build-2</Application>
  <AppVersion>15.0000</AppVersion>
  <Pages>11</Pages>
  <Words>3316</Words>
  <Characters>16479</Characters>
  <CharactersWithSpaces>19692</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2019-07-30T15:15:00Z</dcterms:created>
  <dc:creator>Marcus R. Burton</dc:creator>
  <dc:description/>
  <dc:language>en-GB</dc:language>
  <cp:lastModifiedBy/>
  <cp:lastPrinted>2013-02-21T14:59:00Z</cp:lastPrinted>
  <dcterms:modified xsi:type="dcterms:W3CDTF">2023-06-01T13:16:48Z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