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Kpop Society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Halloween Hangover Club Night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1/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Mariya 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Jasmine Giri-Wild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Jasmine Giri-Wild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8"/>
        <w:gridCol w:w="2424"/>
        <w:gridCol w:w="1644"/>
        <w:gridCol w:w="482"/>
        <w:gridCol w:w="482"/>
        <w:gridCol w:w="495"/>
        <w:gridCol w:w="4252"/>
        <w:gridCol w:w="482"/>
        <w:gridCol w:w="482"/>
        <w:gridCol w:w="495"/>
        <w:gridCol w:w="2703"/>
        <w:tblGridChange w:id="0">
          <w:tblGrid>
            <w:gridCol w:w="1448"/>
            <w:gridCol w:w="2424"/>
            <w:gridCol w:w="1644"/>
            <w:gridCol w:w="482"/>
            <w:gridCol w:w="482"/>
            <w:gridCol w:w="495"/>
            <w:gridCol w:w="4252"/>
            <w:gridCol w:w="482"/>
            <w:gridCol w:w="482"/>
            <w:gridCol w:w="495"/>
            <w:gridCol w:w="2703"/>
          </w:tblGrid>
        </w:tblGridChange>
      </w:tblGrid>
      <w:tr>
        <w:trPr>
          <w:cantSplit w:val="0"/>
          <w:tblHeader w:val="1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0" w:hRule="atLeast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Inappropriate behaviour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Bullying and harassment of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All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be reminded to be respectful of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have read SUSU’s Expect Respect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360" w:firstLine="0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https://www.susu.org/downloads/SUSU-Expect-Respect-Policy.pdf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host to remove participants from the online activity if they are behaving inappropriately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Activity host to report inappropriate behaviour to SUSU’s Activities team (activities@susu.org)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Physical activity </w:t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Participants may get hurt when dancing or due to big crowds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Participant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Remind participants</w:t>
            </w:r>
            <w:r w:rsidDel="00000000" w:rsidR="00000000" w:rsidRPr="00000000">
              <w:rPr>
                <w:rtl w:val="0"/>
              </w:rPr>
              <w:t xml:space="preserve"> to be wary and be safe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members keep an eye on participants and ask around during the event if everyone is comfortable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a participant to sit out of the </w:t>
            </w:r>
            <w:r w:rsidDel="00000000" w:rsidR="00000000" w:rsidRPr="00000000">
              <w:rPr>
                <w:rtl w:val="0"/>
              </w:rPr>
              <w:t xml:space="preserve">event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if </w:t>
            </w:r>
            <w:r w:rsidDel="00000000" w:rsidR="00000000" w:rsidRPr="00000000">
              <w:rPr>
                <w:rtl w:val="0"/>
              </w:rPr>
              <w:t xml:space="preserve">they feel 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unsafe for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Notify the Activities Team at SUSU of any injuries resulting from any club/society activity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Food Allergies and/or Intolerances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Participant may have an adverse reaction to a drink offered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Participant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Remind participants to be wary and be safe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Committee members to tell everyone to be aware of their drinks and ensure to cover their drinks to avoid spiking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Alert a member of staff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Call an ambulance if necessary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Notify the Activities Team at SUSU of any injuries resulting from any club/society activity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Harassment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Participant may be sexually/verbally/physically harassed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Participant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720" w:hanging="360"/>
              <w:rPr>
                <w:rFonts w:ascii="Lucida Sans" w:cs="Lucida Sans" w:eastAsia="Lucida Sans" w:hAnsi="Lucida Sans"/>
                <w:u w:val="no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Remind participants to never travel alone and come to the event with someone</w:t>
            </w:r>
          </w:p>
          <w:p w:rsidR="00000000" w:rsidDel="00000000" w:rsidP="00000000" w:rsidRDefault="00000000" w:rsidRPr="00000000" w14:paraId="00000080">
            <w:pPr>
              <w:ind w:left="720" w:firstLine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720" w:hanging="360"/>
              <w:rPr>
                <w:rFonts w:ascii="Lucida Sans" w:cs="Lucida Sans" w:eastAsia="Lucida Sans" w:hAnsi="Lucida Sans"/>
                <w:u w:val="no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members must keep an eye out for any suspicious people/behaviour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Alert a member of staff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 </w:t>
            </w:r>
            <w:r w:rsidDel="00000000" w:rsidR="00000000" w:rsidRPr="00000000">
              <w:rPr>
                <w:rtl w:val="0"/>
              </w:rPr>
              <w:t xml:space="preserve">police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Drunk disorderly behaviour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Participant may become uncomfortable when experiencing disorderly behaviour when surrounded by drunk participants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Participant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720" w:hanging="36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Ensure that the committee members know where security and staff are located so disorderly people can be removed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Call police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  <w:tblGridChange w:id="0">
          <w:tblGrid>
            <w:gridCol w:w="670"/>
            <w:gridCol w:w="4671"/>
            <w:gridCol w:w="1693"/>
            <w:gridCol w:w="40"/>
            <w:gridCol w:w="1269"/>
            <w:gridCol w:w="1269"/>
            <w:gridCol w:w="4152"/>
            <w:gridCol w:w="1625"/>
          </w:tblGrid>
        </w:tblGridChange>
      </w:tblGrid>
      <w:tr>
        <w:trPr>
          <w:cantSplit w:val="1"/>
          <w:trHeight w:val="4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Remind participants to be wary and be safe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 of their surroundings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Any committee members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members to tell everyone to be aware of their drinks and ensure to cover their drinks to avoid spiking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All committee members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firstLine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Remind participants to never travel alone and come to the event with someone. Committee members must keep an eye out for any suspicious people/behaviour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All committee members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Ensure that the committee members know where security and staff are located so disorderly people can be removed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All committee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</w:p>
        </w:tc>
      </w:tr>
      <w:tr>
        <w:trPr>
          <w:cantSplit w:val="1"/>
          <w:trHeight w:val="606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 Jasmine Giri-Wild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1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/11/22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Sahiba Rahman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1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/11/22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9800" y="3038625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" name="Shape 7"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1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9" name="Shape 9"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2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" name="Shape 11"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3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3" name="Shape 13"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4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5" name="Shape 15"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fmla="val 84135" name="adj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25400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15.9999942779541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5</w:t>
                                        </w:r>
                                      </w:p>
                                    </w:txbxContent>
                                  </wps:txbx>
                                  <wps:bodyPr anchorCtr="0" anchor="ctr" bIns="12700" lIns="12700" spcFirstLastPara="1" rIns="12700" wrap="square" tIns="1270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1"/>
          <w:trHeight w:val="48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57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5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5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6B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33775" cy="3333750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2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33775" cy="3333750"/>
                <wp:effectExtent b="0" l="0" r="0" t="0"/>
                <wp:wrapSquare wrapText="bothSides" distB="45720" distT="4572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333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6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Lucida Sans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C9447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su.org/downloads/SUSU-Expect-Respect-Policy.pdf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I26z1sOSFU5EK9ADsGCGpCW5A==">AMUW2mX5qN1vOU3u7dodTTmBEHb7o3ZdBs3wWA0ovRasFhXJRo71RA4No7VJ1gfaYdfyMzGfBpfgJbyeQoKvU9IFw88WKJ5uquFP9l5VnK2e4D5VtD5Js04=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2021-10-12T19:09:00Z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