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7F08632" w:rsidR="008A6B6B" w:rsidRPr="00AA6F8B" w:rsidRDefault="00AA6F8B" w:rsidP="008A6B6B">
            <w:pPr>
              <w:pStyle w:val="ListParagraph"/>
              <w:ind w:left="170"/>
              <w:rPr>
                <w:rFonts w:ascii="Verdana" w:eastAsia="Times New Roman" w:hAnsi="Verdana" w:cs="Times New Roman"/>
                <w:b/>
                <w:lang w:eastAsia="en-GB"/>
              </w:rPr>
            </w:pPr>
            <w:r w:rsidRPr="00AA6F8B">
              <w:rPr>
                <w:rFonts w:ascii="Verdana" w:eastAsia="Times New Roman" w:hAnsi="Verdana" w:cs="Times New Roman"/>
                <w:bCs/>
                <w:i/>
                <w:iCs/>
              </w:rPr>
              <w:t>River Plato FC</w:t>
            </w:r>
            <w:r w:rsidR="008A6B6B" w:rsidRPr="00AA6F8B">
              <w:rPr>
                <w:rFonts w:ascii="Verdana" w:eastAsia="Times New Roman" w:hAnsi="Verdana" w:cs="Times New Roman"/>
                <w:bCs/>
                <w:i/>
                <w:iCs/>
              </w:rPr>
              <w:t xml:space="preserve"> </w:t>
            </w:r>
            <w:r w:rsidR="008A6B6B" w:rsidRPr="00AA6F8B">
              <w:rPr>
                <w:rFonts w:ascii="Verdana" w:eastAsia="Times New Roman" w:hAnsi="Verdana" w:cs="Times New Roman"/>
                <w:bCs/>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4C42A58" w:rsidR="008A6B6B" w:rsidRPr="00AA6F8B" w:rsidRDefault="00AA6F8B" w:rsidP="008A6B6B">
            <w:pPr>
              <w:pStyle w:val="ListParagraph"/>
              <w:ind w:left="170"/>
              <w:rPr>
                <w:rFonts w:ascii="Verdana" w:eastAsia="Times New Roman" w:hAnsi="Verdana" w:cs="Times New Roman"/>
                <w:b/>
                <w:lang w:eastAsia="en-GB"/>
              </w:rPr>
            </w:pPr>
            <w:r w:rsidRPr="00AA6F8B">
              <w:rPr>
                <w:rFonts w:ascii="Verdana" w:eastAsia="Times New Roman" w:hAnsi="Verdana" w:cs="Times New Roman"/>
                <w:bCs/>
                <w:i/>
                <w:iCs/>
              </w:rPr>
              <w:t>16/09/2025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E73643D" w:rsidR="00E4228F" w:rsidRPr="00AA6F8B" w:rsidRDefault="00AA6F8B" w:rsidP="00E4228F">
            <w:pPr>
              <w:pStyle w:val="ListParagraph"/>
              <w:ind w:left="170"/>
              <w:rPr>
                <w:rFonts w:ascii="Verdana" w:eastAsia="Times New Roman" w:hAnsi="Verdana" w:cs="Times New Roman"/>
                <w:b/>
                <w:i/>
                <w:iCs/>
                <w:lang w:eastAsia="en-GB"/>
              </w:rPr>
            </w:pPr>
            <w:r w:rsidRPr="00AA6F8B">
              <w:rPr>
                <w:rFonts w:ascii="Verdana" w:eastAsia="Times New Roman" w:hAnsi="Verdana" w:cs="Times New Roman"/>
                <w:bCs/>
                <w:i/>
                <w:iCs/>
              </w:rPr>
              <w:t>IM 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0E9185D" w:rsidR="00E4228F" w:rsidRPr="00AA6F8B" w:rsidRDefault="00AA6F8B" w:rsidP="00E4228F">
            <w:pPr>
              <w:pStyle w:val="ListParagraph"/>
              <w:ind w:left="170"/>
              <w:rPr>
                <w:rFonts w:ascii="Verdana" w:eastAsia="Times New Roman" w:hAnsi="Verdana" w:cs="Times New Roman"/>
                <w:b/>
                <w:lang w:eastAsia="en-GB"/>
              </w:rPr>
            </w:pPr>
            <w:r w:rsidRPr="00AA6F8B">
              <w:rPr>
                <w:rFonts w:ascii="Verdana" w:eastAsia="Times New Roman" w:hAnsi="Verdana" w:cs="Times New Roman"/>
                <w:bCs/>
                <w:i/>
                <w:iCs/>
              </w:rPr>
              <w:t>Matthew van Otterdijk</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31B53A4" w:rsidR="00E4228F" w:rsidRPr="00AA6F8B" w:rsidRDefault="00AA6F8B" w:rsidP="00E4228F">
            <w:pPr>
              <w:rPr>
                <w:rFonts w:ascii="Verdana" w:eastAsia="Times New Roman" w:hAnsi="Verdana" w:cs="Times New Roman"/>
                <w:b/>
                <w:i/>
                <w:lang w:eastAsia="en-GB"/>
              </w:rPr>
            </w:pPr>
            <w:r w:rsidRPr="00AA6F8B">
              <w:rPr>
                <w:rFonts w:ascii="Verdana" w:eastAsia="Times New Roman" w:hAnsi="Verdana" w:cs="Times New Roman"/>
                <w:bCs/>
                <w:i/>
              </w:rPr>
              <w:t>Matthew Hindle -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70D443E6" w14:textId="7DFEA99D" w:rsidR="00376FA5" w:rsidRDefault="00376FA5" w:rsidP="00376FA5">
            <w:pPr>
              <w:rPr>
                <w:rFonts w:ascii="Verdana" w:eastAsia="Times New Roman" w:hAnsi="Verdana" w:cs="Times New Roman"/>
                <w:bCs/>
                <w:iCs/>
                <w:lang w:eastAsia="en-GB"/>
              </w:rPr>
            </w:pPr>
            <w:r>
              <w:rPr>
                <w:rFonts w:ascii="Verdana" w:eastAsia="Times New Roman" w:hAnsi="Verdana" w:cs="Times New Roman"/>
                <w:bCs/>
                <w:iCs/>
                <w:lang w:eastAsia="en-GB"/>
              </w:rPr>
              <w:t>Every year, University of Southampton Intermural football teams compete against other intermural teams in their division. Most teams, including us, compete in both a Wednesday and a Sunday league. Therefore, most teams play at least 2 games per week – not including training – excluding cancellations due to venue organisers or weather. These matches are organised and scheduled by SUSU and the teams involved.</w:t>
            </w:r>
          </w:p>
          <w:p w14:paraId="3CC89AD9" w14:textId="77777777" w:rsidR="00524176" w:rsidRDefault="00524176" w:rsidP="00376FA5">
            <w:pPr>
              <w:rPr>
                <w:rFonts w:ascii="Verdana" w:eastAsia="Times New Roman" w:hAnsi="Verdana" w:cs="Times New Roman"/>
                <w:bCs/>
                <w:iCs/>
                <w:lang w:eastAsia="en-GB"/>
              </w:rPr>
            </w:pPr>
          </w:p>
          <w:p w14:paraId="718913FB" w14:textId="00394A28" w:rsidR="00524176" w:rsidRDefault="00524176" w:rsidP="00376FA5">
            <w:pPr>
              <w:rPr>
                <w:rFonts w:ascii="Verdana" w:eastAsia="Times New Roman" w:hAnsi="Verdana" w:cs="Times New Roman"/>
                <w:bCs/>
                <w:iCs/>
                <w:lang w:eastAsia="en-GB"/>
              </w:rPr>
            </w:pPr>
            <w:r>
              <w:rPr>
                <w:rFonts w:ascii="Verdana" w:eastAsia="Times New Roman" w:hAnsi="Verdana" w:cs="Times New Roman"/>
                <w:bCs/>
                <w:iCs/>
                <w:lang w:eastAsia="en-GB"/>
              </w:rPr>
              <w:t xml:space="preserve">SUSU, and by extension the </w:t>
            </w:r>
            <w:r>
              <w:rPr>
                <w:rFonts w:ascii="Verdana" w:eastAsia="Times New Roman" w:hAnsi="Verdana" w:cs="Times New Roman"/>
                <w:bCs/>
                <w:iCs/>
                <w:lang w:eastAsia="en-GB"/>
              </w:rPr>
              <w:t>University of Southampton</w:t>
            </w:r>
            <w:r>
              <w:rPr>
                <w:rFonts w:ascii="Verdana" w:eastAsia="Times New Roman" w:hAnsi="Verdana" w:cs="Times New Roman"/>
                <w:bCs/>
                <w:iCs/>
                <w:lang w:eastAsia="en-GB"/>
              </w:rPr>
              <w:t>, takes responsibility for the playing grounds when they are held on university grounds such as Wide Lane. The teams themselves are responsible for the safety and behaviour of the players outside of the responsibilities of the groundskeepers</w:t>
            </w:r>
            <w:r w:rsidR="00A91723">
              <w:rPr>
                <w:rFonts w:ascii="Verdana" w:eastAsia="Times New Roman" w:hAnsi="Verdana" w:cs="Times New Roman"/>
                <w:bCs/>
                <w:iCs/>
                <w:lang w:eastAsia="en-GB"/>
              </w:rPr>
              <w:t>, especially since match referees and linesmen as provided by the participating teams</w:t>
            </w:r>
            <w:r w:rsidR="005E4C56">
              <w:rPr>
                <w:rFonts w:ascii="Verdana" w:eastAsia="Times New Roman" w:hAnsi="Verdana" w:cs="Times New Roman"/>
                <w:bCs/>
                <w:iCs/>
                <w:lang w:eastAsia="en-GB"/>
              </w:rPr>
              <w:t xml:space="preserve"> for each match.</w:t>
            </w:r>
          </w:p>
          <w:p w14:paraId="1E63609D" w14:textId="628ED3DF" w:rsidR="0083232E" w:rsidRDefault="0083232E" w:rsidP="00376FA5">
            <w:pPr>
              <w:rPr>
                <w:rFonts w:ascii="Verdana" w:eastAsia="Times New Roman" w:hAnsi="Verdana" w:cs="Times New Roman"/>
                <w:bCs/>
                <w:iCs/>
                <w:lang w:eastAsia="en-GB"/>
              </w:rPr>
            </w:pPr>
            <w:r>
              <w:rPr>
                <w:rFonts w:ascii="Verdana" w:eastAsia="Times New Roman" w:hAnsi="Verdana" w:cs="Times New Roman"/>
                <w:bCs/>
                <w:iCs/>
                <w:lang w:eastAsia="en-GB"/>
              </w:rPr>
              <w:t>SUSU are responsible for receiving and dealing with complaints regarding unsportsmanlike and dangerous conduct and play from teams and making sure participants play and abide by the rules set by the league.</w:t>
            </w:r>
          </w:p>
          <w:p w14:paraId="68C59680" w14:textId="77777777" w:rsidR="00305AD2" w:rsidRDefault="00305AD2" w:rsidP="00376FA5">
            <w:pPr>
              <w:rPr>
                <w:rFonts w:ascii="Verdana" w:eastAsia="Times New Roman" w:hAnsi="Verdana" w:cs="Times New Roman"/>
                <w:bCs/>
                <w:iCs/>
                <w:lang w:eastAsia="en-GB"/>
              </w:rPr>
            </w:pPr>
          </w:p>
          <w:p w14:paraId="4588355C" w14:textId="4DDA0AEE" w:rsidR="00305AD2" w:rsidRDefault="00305AD2" w:rsidP="00376FA5">
            <w:pPr>
              <w:rPr>
                <w:rFonts w:ascii="Verdana" w:eastAsia="Times New Roman" w:hAnsi="Verdana" w:cs="Times New Roman"/>
                <w:bCs/>
                <w:iCs/>
                <w:lang w:eastAsia="en-GB"/>
              </w:rPr>
            </w:pPr>
            <w:r>
              <w:rPr>
                <w:rFonts w:ascii="Verdana" w:eastAsia="Times New Roman" w:hAnsi="Verdana" w:cs="Times New Roman"/>
                <w:bCs/>
                <w:iCs/>
                <w:lang w:eastAsia="en-GB"/>
              </w:rPr>
              <w:t>Presidents and Captains are responsible for controlling and managing the behaviour of the players and represent the team they bring to each match.</w:t>
            </w:r>
          </w:p>
          <w:p w14:paraId="5CF7BDAD" w14:textId="77777777" w:rsidR="00915F5C" w:rsidRDefault="00915F5C" w:rsidP="00376FA5">
            <w:pPr>
              <w:rPr>
                <w:rFonts w:ascii="Verdana" w:eastAsia="Times New Roman" w:hAnsi="Verdana" w:cs="Times New Roman"/>
                <w:bCs/>
                <w:iCs/>
                <w:lang w:eastAsia="en-GB"/>
              </w:rPr>
            </w:pPr>
          </w:p>
          <w:p w14:paraId="3609B3AE" w14:textId="77777777" w:rsidR="00915F5C" w:rsidRPr="00915F5C" w:rsidRDefault="00915F5C" w:rsidP="00915F5C">
            <w:pPr>
              <w:rPr>
                <w:rFonts w:ascii="Verdana" w:eastAsia="Times New Roman" w:hAnsi="Verdana" w:cs="Times New Roman"/>
                <w:b/>
                <w:bCs/>
                <w:i/>
                <w:iCs/>
                <w:lang w:eastAsia="en-GB"/>
              </w:rPr>
            </w:pPr>
            <w:r w:rsidRPr="00915F5C">
              <w:rPr>
                <w:rFonts w:ascii="Verdana" w:eastAsia="Times New Roman" w:hAnsi="Verdana" w:cs="Times New Roman"/>
                <w:bCs/>
                <w:iCs/>
                <w:lang w:eastAsia="en-GB"/>
              </w:rPr>
              <w:t xml:space="preserve">For further information on risk, please visit - </w:t>
            </w:r>
            <w:hyperlink r:id="rId11" w:history="1">
              <w:r w:rsidRPr="00915F5C">
                <w:rPr>
                  <w:rStyle w:val="Hyperlink"/>
                  <w:rFonts w:ascii="Verdana" w:eastAsia="Times New Roman" w:hAnsi="Verdana" w:cs="Times New Roman"/>
                  <w:bCs/>
                  <w:iCs/>
                  <w:lang w:eastAsia="en-GB"/>
                </w:rPr>
                <w:t>https://www.hse.gov.uk/simple-health-safety/risk/index.htm</w:t>
              </w:r>
            </w:hyperlink>
          </w:p>
          <w:p w14:paraId="3C37AC0E" w14:textId="77777777" w:rsidR="00D24761" w:rsidRDefault="00D24761" w:rsidP="00D24761">
            <w:pPr>
              <w:rPr>
                <w:rFonts w:ascii="Verdana" w:eastAsia="Times New Roman" w:hAnsi="Verdana" w:cs="Times New Roman"/>
                <w:b/>
                <w:i/>
                <w:lang w:eastAsia="en-GB"/>
              </w:rPr>
            </w:pPr>
          </w:p>
          <w:p w14:paraId="5C1718F6" w14:textId="77777777" w:rsidR="00E73EDF" w:rsidRDefault="00E73EDF" w:rsidP="00D24761">
            <w:pPr>
              <w:rPr>
                <w:rFonts w:ascii="Verdana" w:eastAsia="Times New Roman" w:hAnsi="Verdana" w:cs="Times New Roman"/>
                <w:b/>
                <w:i/>
                <w:lang w:eastAsia="en-GB"/>
              </w:rPr>
            </w:pPr>
          </w:p>
          <w:p w14:paraId="763F5428" w14:textId="77777777" w:rsidR="00E73EDF" w:rsidRPr="00D24761" w:rsidRDefault="00E73EDF"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2E2AC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2E2ACA"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2E2ACA"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2E2ACA"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2E2ACA"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2E2ACA" w14:paraId="65CDCC68" w14:textId="77777777" w:rsidTr="2AEAB856">
        <w:trPr>
          <w:cantSplit/>
          <w:trHeight w:val="1296"/>
        </w:trPr>
        <w:tc>
          <w:tcPr>
            <w:tcW w:w="2026" w:type="dxa"/>
            <w:shd w:val="clear" w:color="auto" w:fill="FFFFFF" w:themeFill="background1"/>
          </w:tcPr>
          <w:p w14:paraId="7AC57CF7" w14:textId="77777777" w:rsidR="002E2ACA" w:rsidRDefault="000D28AD" w:rsidP="000D28AD">
            <w:pPr>
              <w:rPr>
                <w:rFonts w:ascii="Calibri" w:eastAsia="Calibri" w:hAnsi="Calibri" w:cs="Calibri"/>
                <w:b/>
                <w:bCs/>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w:t>
            </w:r>
          </w:p>
          <w:p w14:paraId="4352FE36" w14:textId="7CC05D3A" w:rsidR="000D28AD" w:rsidRDefault="002E2ACA" w:rsidP="000D28AD">
            <w:pPr>
              <w:rPr>
                <w:rFonts w:ascii="Calibri" w:eastAsia="Calibri" w:hAnsi="Calibri" w:cs="Calibri"/>
              </w:rPr>
            </w:pPr>
            <w:r>
              <w:rPr>
                <w:rFonts w:ascii="Calibri" w:eastAsia="Calibri" w:hAnsi="Calibri" w:cs="Calibri"/>
                <w:b/>
                <w:bCs/>
              </w:rPr>
              <w:t>equipment/</w:t>
            </w:r>
            <w:r w:rsidR="007A03AA" w:rsidRPr="00DE0179">
              <w:rPr>
                <w:rFonts w:ascii="Calibri" w:eastAsia="Calibri" w:hAnsi="Calibri" w:cs="Calibri"/>
                <w:b/>
                <w:bCs/>
              </w:rPr>
              <w:t>other objects in the area</w:t>
            </w:r>
            <w:r w:rsidR="007A03AA">
              <w:rPr>
                <w:rFonts w:ascii="Calibri" w:eastAsia="Calibri" w:hAnsi="Calibri" w:cs="Calibri"/>
              </w:rPr>
              <w:t>.</w:t>
            </w:r>
          </w:p>
        </w:tc>
        <w:tc>
          <w:tcPr>
            <w:tcW w:w="2670" w:type="dxa"/>
            <w:shd w:val="clear" w:color="auto" w:fill="FFFFFF" w:themeFill="background1"/>
          </w:tcPr>
          <w:p w14:paraId="61EF3FEC" w14:textId="03D2BA0A" w:rsidR="000D28AD" w:rsidRPr="00A8067A" w:rsidRDefault="000D28AD" w:rsidP="000D28AD">
            <w:r>
              <w:rPr>
                <w:rFonts w:ascii="Calibri" w:eastAsia="Calibri" w:hAnsi="Calibri" w:cs="Calibri"/>
              </w:rPr>
              <w:t>Bruising or broken bones from tripping over table</w:t>
            </w:r>
            <w:r w:rsidR="00F703FC">
              <w:rPr>
                <w:rFonts w:ascii="Calibri" w:eastAsia="Calibri" w:hAnsi="Calibri" w:cs="Calibri"/>
              </w:rPr>
              <w:t xml:space="preserve">s, equipment </w:t>
            </w:r>
            <w:r>
              <w:rPr>
                <w:rFonts w:ascii="Calibri" w:eastAsia="Calibri" w:hAnsi="Calibri" w:cs="Calibri"/>
              </w:rPr>
              <w:t>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2E2ACA"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2E2ACA"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2E2ACA"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2E2ACA"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2E2ACA"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2E2ACA"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2E2ACA"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2E2ACA"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2E2ACA"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2E2ACA"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2E2ACA"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2E2ACA"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2E2ACA"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2E2ACA"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2E2ACA"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2E2ACA"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2E2ACA"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2E2ACA"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2E2ACA"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2E2ACA"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2E2ACA"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2E2ACA"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2E2ACA"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2E2ACA"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2E2ACA"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2E2ACA"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2E2ACA"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2E2ACA"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2E2ACA"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21"/>
        <w:gridCol w:w="2131"/>
        <w:gridCol w:w="1547"/>
        <w:gridCol w:w="1019"/>
        <w:gridCol w:w="3954"/>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E201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21"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9E201A" w:rsidRPr="00957A37" w14:paraId="3C5F0493" w14:textId="77777777" w:rsidTr="009E201A">
        <w:trPr>
          <w:trHeight w:val="574"/>
        </w:trPr>
        <w:tc>
          <w:tcPr>
            <w:tcW w:w="218" w:type="pct"/>
          </w:tcPr>
          <w:p w14:paraId="3C5F048D" w14:textId="44279ED1"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3C5F048E" w14:textId="3EF78C9E"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sidRPr="009E201A">
              <w:rPr>
                <w:rFonts w:ascii="Lucida Sans" w:eastAsia="Times New Roman" w:hAnsi="Lucida Sans" w:cs="Arial"/>
                <w:color w:val="000000"/>
                <w:szCs w:val="20"/>
              </w:rPr>
              <w:t>First Aid Training</w:t>
            </w:r>
            <w:r>
              <w:rPr>
                <w:rFonts w:ascii="Lucida Sans" w:eastAsia="Times New Roman" w:hAnsi="Lucida Sans" w:cs="Arial"/>
                <w:color w:val="000000"/>
                <w:szCs w:val="20"/>
              </w:rPr>
              <w:t xml:space="preserve"> (Already complete?)</w:t>
            </w:r>
          </w:p>
        </w:tc>
        <w:tc>
          <w:tcPr>
            <w:tcW w:w="555" w:type="pct"/>
          </w:tcPr>
          <w:p w14:paraId="6F30DFDC" w14:textId="77777777"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President/Captain</w:t>
            </w:r>
          </w:p>
          <w:p w14:paraId="3C5F048F" w14:textId="47884629"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90" w14:textId="671263B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1/10/2025</w:t>
            </w:r>
          </w:p>
        </w:tc>
        <w:tc>
          <w:tcPr>
            <w:tcW w:w="331" w:type="pct"/>
            <w:tcBorders>
              <w:right w:val="single" w:sz="18" w:space="0" w:color="auto"/>
            </w:tcBorders>
          </w:tcPr>
          <w:p w14:paraId="04B5853B" w14:textId="4F7798D5"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6/1/2</w:t>
            </w:r>
            <w:r>
              <w:rPr>
                <w:rFonts w:ascii="Lucida Sans" w:eastAsia="Times New Roman" w:hAnsi="Lucida Sans" w:cs="Arial"/>
                <w:color w:val="000000"/>
                <w:szCs w:val="20"/>
              </w:rPr>
              <w:t>6</w:t>
            </w:r>
          </w:p>
          <w:p w14:paraId="3C5F0491"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92"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9A" w14:textId="77777777" w:rsidTr="009E201A">
        <w:trPr>
          <w:trHeight w:val="574"/>
        </w:trPr>
        <w:tc>
          <w:tcPr>
            <w:tcW w:w="218" w:type="pct"/>
          </w:tcPr>
          <w:p w14:paraId="3C5F0494" w14:textId="3F0480D5"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3" w:type="pct"/>
          </w:tcPr>
          <w:p w14:paraId="1771ACAD" w14:textId="77777777"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Check everyone has appropriate footwear for playing.</w:t>
            </w:r>
          </w:p>
          <w:p w14:paraId="3C5F0495"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7A655FB6" w14:textId="77777777"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President/Captain</w:t>
            </w:r>
          </w:p>
          <w:p w14:paraId="3C5F0496" w14:textId="51F87533"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97" w14:textId="0E29EC7C"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1/10/2025</w:t>
            </w:r>
          </w:p>
        </w:tc>
        <w:tc>
          <w:tcPr>
            <w:tcW w:w="331" w:type="pct"/>
            <w:tcBorders>
              <w:right w:val="single" w:sz="18" w:space="0" w:color="auto"/>
            </w:tcBorders>
          </w:tcPr>
          <w:p w14:paraId="1B3CF609" w14:textId="3B24B771"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6/1/2</w:t>
            </w:r>
            <w:r>
              <w:rPr>
                <w:rFonts w:ascii="Lucida Sans" w:eastAsia="Times New Roman" w:hAnsi="Lucida Sans" w:cs="Arial"/>
                <w:color w:val="000000"/>
                <w:szCs w:val="20"/>
              </w:rPr>
              <w:t>6</w:t>
            </w:r>
          </w:p>
          <w:p w14:paraId="3C5F0498"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99"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A1" w14:textId="77777777" w:rsidTr="009E201A">
        <w:trPr>
          <w:trHeight w:val="574"/>
        </w:trPr>
        <w:tc>
          <w:tcPr>
            <w:tcW w:w="218" w:type="pct"/>
          </w:tcPr>
          <w:p w14:paraId="3C5F049B" w14:textId="2ACF3B1B"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23" w:type="pct"/>
          </w:tcPr>
          <w:p w14:paraId="4B4DA985" w14:textId="77777777"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Brief social secretaries on sensibility of social events.</w:t>
            </w:r>
          </w:p>
          <w:p w14:paraId="3C5F049C"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9D" w14:textId="36AB61B5"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w:t>
            </w:r>
          </w:p>
        </w:tc>
        <w:tc>
          <w:tcPr>
            <w:tcW w:w="521" w:type="pct"/>
          </w:tcPr>
          <w:p w14:paraId="3C5F049E" w14:textId="207C8754"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1/10/2025</w:t>
            </w:r>
          </w:p>
        </w:tc>
        <w:tc>
          <w:tcPr>
            <w:tcW w:w="331" w:type="pct"/>
            <w:tcBorders>
              <w:right w:val="single" w:sz="18" w:space="0" w:color="auto"/>
            </w:tcBorders>
          </w:tcPr>
          <w:p w14:paraId="7992C747" w14:textId="31A3F258" w:rsidR="009E201A"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6/1/2</w:t>
            </w:r>
            <w:r>
              <w:rPr>
                <w:rFonts w:ascii="Lucida Sans" w:eastAsia="Times New Roman" w:hAnsi="Lucida Sans" w:cs="Arial"/>
                <w:color w:val="000000"/>
                <w:szCs w:val="20"/>
              </w:rPr>
              <w:t>6</w:t>
            </w:r>
          </w:p>
          <w:p w14:paraId="3C5F049F"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A0"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A8" w14:textId="77777777" w:rsidTr="009E201A">
        <w:trPr>
          <w:trHeight w:val="574"/>
        </w:trPr>
        <w:tc>
          <w:tcPr>
            <w:tcW w:w="218" w:type="pct"/>
          </w:tcPr>
          <w:p w14:paraId="3C5F04A2" w14:textId="77777777"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3"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A4"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A5"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A7"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AF" w14:textId="77777777" w:rsidTr="009E201A">
        <w:trPr>
          <w:trHeight w:val="574"/>
        </w:trPr>
        <w:tc>
          <w:tcPr>
            <w:tcW w:w="218" w:type="pct"/>
          </w:tcPr>
          <w:p w14:paraId="3C5F04A9" w14:textId="77777777"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A"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AB"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AC"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AE"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B6" w14:textId="77777777" w:rsidTr="009E201A">
        <w:trPr>
          <w:trHeight w:val="574"/>
        </w:trPr>
        <w:tc>
          <w:tcPr>
            <w:tcW w:w="218" w:type="pct"/>
          </w:tcPr>
          <w:p w14:paraId="3C5F04B0" w14:textId="77777777"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1"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2"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B3"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B5"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BE" w14:textId="77777777" w:rsidTr="009E201A">
        <w:trPr>
          <w:trHeight w:val="574"/>
        </w:trPr>
        <w:tc>
          <w:tcPr>
            <w:tcW w:w="218" w:type="pct"/>
          </w:tcPr>
          <w:p w14:paraId="3C5F04B7" w14:textId="77777777" w:rsidR="009E201A" w:rsidRPr="00957A37" w:rsidRDefault="009E201A" w:rsidP="009E201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8"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A"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BB"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1852" w:type="pct"/>
            <w:gridSpan w:val="2"/>
            <w:tcBorders>
              <w:left w:val="single" w:sz="18" w:space="0" w:color="auto"/>
            </w:tcBorders>
          </w:tcPr>
          <w:p w14:paraId="3C5F04BD"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r>
      <w:tr w:rsidR="009E201A" w:rsidRPr="00957A37" w14:paraId="3C5F04C2" w14:textId="77777777" w:rsidTr="009E201A">
        <w:trPr>
          <w:cantSplit/>
        </w:trPr>
        <w:tc>
          <w:tcPr>
            <w:tcW w:w="2817" w:type="pct"/>
            <w:gridSpan w:val="4"/>
            <w:tcBorders>
              <w:bottom w:val="nil"/>
            </w:tcBorders>
          </w:tcPr>
          <w:p w14:paraId="3C5F04BF" w14:textId="452F22F5" w:rsidR="009E201A" w:rsidRPr="007A7454" w:rsidRDefault="009E201A" w:rsidP="009E201A">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7777777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p>
        </w:tc>
        <w:tc>
          <w:tcPr>
            <w:tcW w:w="2183" w:type="pct"/>
            <w:gridSpan w:val="3"/>
            <w:tcBorders>
              <w:bottom w:val="nil"/>
            </w:tcBorders>
          </w:tcPr>
          <w:p w14:paraId="3C5F04C1" w14:textId="3C5CDD48" w:rsidR="009E201A" w:rsidRPr="007A7454" w:rsidRDefault="009E201A" w:rsidP="009E201A">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9E201A" w:rsidRPr="00957A37" w14:paraId="3C5F04C7" w14:textId="77777777" w:rsidTr="009E201A">
        <w:trPr>
          <w:cantSplit/>
          <w:trHeight w:val="606"/>
        </w:trPr>
        <w:tc>
          <w:tcPr>
            <w:tcW w:w="2313" w:type="pct"/>
            <w:gridSpan w:val="3"/>
            <w:tcBorders>
              <w:top w:val="nil"/>
              <w:right w:val="nil"/>
            </w:tcBorders>
          </w:tcPr>
          <w:p w14:paraId="3C5F04C3" w14:textId="03229688"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Matthew van Otterdijk</w:t>
            </w:r>
          </w:p>
        </w:tc>
        <w:tc>
          <w:tcPr>
            <w:tcW w:w="504" w:type="pct"/>
            <w:tcBorders>
              <w:top w:val="nil"/>
              <w:left w:val="nil"/>
            </w:tcBorders>
          </w:tcPr>
          <w:p w14:paraId="3C5F04C4" w14:textId="3ABEF496"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18/09/2025</w:t>
            </w:r>
          </w:p>
        </w:tc>
        <w:tc>
          <w:tcPr>
            <w:tcW w:w="1651" w:type="pct"/>
            <w:gridSpan w:val="2"/>
            <w:tcBorders>
              <w:top w:val="nil"/>
              <w:right w:val="nil"/>
            </w:tcBorders>
          </w:tcPr>
          <w:p w14:paraId="3C5F04C5" w14:textId="2478C2D7"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Matthew Hindle</w:t>
            </w:r>
          </w:p>
        </w:tc>
        <w:tc>
          <w:tcPr>
            <w:tcW w:w="532" w:type="pct"/>
            <w:tcBorders>
              <w:top w:val="nil"/>
              <w:left w:val="nil"/>
            </w:tcBorders>
          </w:tcPr>
          <w:p w14:paraId="3C5F04C6" w14:textId="4472901E" w:rsidR="009E201A" w:rsidRPr="00957A37" w:rsidRDefault="009E201A" w:rsidP="009E201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Pr>
                <w:rFonts w:ascii="Lucida Sans" w:eastAsia="Times New Roman" w:hAnsi="Lucida Sans" w:cs="Arial"/>
                <w:color w:val="000000"/>
                <w:szCs w:val="20"/>
              </w:rPr>
              <w:t>18/09/2025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D241" w14:textId="77777777" w:rsidR="00E25A53" w:rsidRDefault="00E25A53" w:rsidP="00AC47B4">
      <w:pPr>
        <w:spacing w:after="0" w:line="240" w:lineRule="auto"/>
      </w:pPr>
      <w:r>
        <w:separator/>
      </w:r>
    </w:p>
  </w:endnote>
  <w:endnote w:type="continuationSeparator" w:id="0">
    <w:p w14:paraId="0F3D13FE" w14:textId="77777777" w:rsidR="00E25A53" w:rsidRDefault="00E25A5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0BE1" w14:textId="77777777" w:rsidR="00E25A53" w:rsidRDefault="00E25A53" w:rsidP="00AC47B4">
      <w:pPr>
        <w:spacing w:after="0" w:line="240" w:lineRule="auto"/>
      </w:pPr>
      <w:r>
        <w:separator/>
      </w:r>
    </w:p>
  </w:footnote>
  <w:footnote w:type="continuationSeparator" w:id="0">
    <w:p w14:paraId="50EB8FCF" w14:textId="77777777" w:rsidR="00E25A53" w:rsidRDefault="00E25A5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2ACA"/>
    <w:rsid w:val="002E38DC"/>
    <w:rsid w:val="002E64AC"/>
    <w:rsid w:val="002F3BF7"/>
    <w:rsid w:val="002F5C84"/>
    <w:rsid w:val="002F68E1"/>
    <w:rsid w:val="002F7755"/>
    <w:rsid w:val="003053D5"/>
    <w:rsid w:val="00305AD2"/>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76FA5"/>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1B3A"/>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4176"/>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4C0F"/>
    <w:rsid w:val="005B5C07"/>
    <w:rsid w:val="005B6855"/>
    <w:rsid w:val="005C214B"/>
    <w:rsid w:val="005C545E"/>
    <w:rsid w:val="005D0ACF"/>
    <w:rsid w:val="005D0AED"/>
    <w:rsid w:val="005D2194"/>
    <w:rsid w:val="005D4797"/>
    <w:rsid w:val="005D772F"/>
    <w:rsid w:val="005D7866"/>
    <w:rsid w:val="005E0DEF"/>
    <w:rsid w:val="005E205D"/>
    <w:rsid w:val="005E442E"/>
    <w:rsid w:val="005E4C56"/>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0D79"/>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96D7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232E"/>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15F5C"/>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201A"/>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723"/>
    <w:rsid w:val="00A94465"/>
    <w:rsid w:val="00A94BB7"/>
    <w:rsid w:val="00AA2152"/>
    <w:rsid w:val="00AA24FA"/>
    <w:rsid w:val="00AA2E7C"/>
    <w:rsid w:val="00AA5394"/>
    <w:rsid w:val="00AA6F8B"/>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2482"/>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0C17"/>
    <w:rsid w:val="00E23A72"/>
    <w:rsid w:val="00E25A53"/>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3EDF"/>
    <w:rsid w:val="00E749A5"/>
    <w:rsid w:val="00E76BDC"/>
    <w:rsid w:val="00E8309E"/>
    <w:rsid w:val="00E84475"/>
    <w:rsid w:val="00E84519"/>
    <w:rsid w:val="00E85A98"/>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3FC"/>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915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66151582">
      <w:bodyDiv w:val="1"/>
      <w:marLeft w:val="0"/>
      <w:marRight w:val="0"/>
      <w:marTop w:val="0"/>
      <w:marBottom w:val="0"/>
      <w:divBdr>
        <w:top w:val="none" w:sz="0" w:space="0" w:color="auto"/>
        <w:left w:val="none" w:sz="0" w:space="0" w:color="auto"/>
        <w:bottom w:val="none" w:sz="0" w:space="0" w:color="auto"/>
        <w:right w:val="none" w:sz="0" w:space="0" w:color="auto"/>
      </w:divBdr>
    </w:div>
    <w:div w:id="66417280">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6220030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8542315">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37283661">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04915936">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89595605">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47011349">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06635205">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8967005">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42</Pages>
  <Words>5340</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Matthew Van Otterdijk (mvo1g23)</cp:lastModifiedBy>
  <cp:revision>19</cp:revision>
  <cp:lastPrinted>2016-04-18T12:10:00Z</cp:lastPrinted>
  <dcterms:created xsi:type="dcterms:W3CDTF">2025-09-16T22:33:00Z</dcterms:created>
  <dcterms:modified xsi:type="dcterms:W3CDTF">2025-09-18T16:15:00Z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