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:rsidR="007D5F9D" w:rsidRPr="003A79FE" w:rsidRDefault="007D5F9D" w:rsidP="00303FA3">
            <w:pPr>
              <w:tabs>
                <w:tab w:val="left" w:pos="4590"/>
              </w:tabs>
              <w:rPr>
                <w:sz w:val="32"/>
                <w:szCs w:val="32"/>
              </w:rPr>
            </w:pPr>
            <w:r w:rsidRPr="003A79FE">
              <w:rPr>
                <w:sz w:val="32"/>
                <w:szCs w:val="32"/>
              </w:rPr>
              <w:t>Work/Activity:</w:t>
            </w:r>
            <w:r w:rsidR="00303FA3">
              <w:rPr>
                <w:sz w:val="32"/>
                <w:szCs w:val="32"/>
              </w:rPr>
              <w:t xml:space="preserve"> Mexican Party </w:t>
            </w:r>
            <w:r w:rsidR="00303FA3">
              <w:rPr>
                <w:sz w:val="32"/>
                <w:szCs w:val="32"/>
              </w:rPr>
              <w:tab/>
            </w:r>
          </w:p>
        </w:tc>
      </w:tr>
      <w:tr w:rsidR="00A26B8F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3FA3" w:rsidRDefault="00303FA3">
            <w:r>
              <w:t xml:space="preserve">Gathering of </w:t>
            </w:r>
            <w:r w:rsidR="00C30D0B">
              <w:t>the student community, in a closed place. Social activities includes, dancing, drinking alcoholic beverages, listening to music to a high volume.</w:t>
            </w:r>
          </w:p>
          <w:p w:rsidR="00912C05" w:rsidRDefault="00912C05"/>
          <w:p w:rsidR="00912C05" w:rsidRDefault="00912C05"/>
          <w:p w:rsidR="00912C05" w:rsidRDefault="00912C05"/>
          <w:p w:rsidR="00912C05" w:rsidRDefault="00912C05"/>
          <w:p w:rsidR="00912C05" w:rsidRDefault="00912C05"/>
          <w:p w:rsidR="00C30D0B" w:rsidRDefault="00C30D0B"/>
          <w:p w:rsidR="00C30D0B" w:rsidRDefault="00C30D0B"/>
          <w:p w:rsidR="00912C05" w:rsidRDefault="00912C05"/>
        </w:tc>
      </w:tr>
      <w:tr w:rsidR="007D5F9D" w:rsidTr="00EB0C98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EB0C98" w:rsidRDefault="003A79FE" w:rsidP="003A79FE">
            <w:pPr>
              <w:rPr>
                <w:b w:val="0"/>
                <w:color w:val="FFFFFF" w:themeColor="background1"/>
              </w:rPr>
            </w:pPr>
            <w:r w:rsidRPr="00EB0C98">
              <w:rPr>
                <w:b w:val="0"/>
                <w:color w:val="FFFFFF" w:themeColor="background1"/>
              </w:rPr>
              <w:t>Group</w:t>
            </w:r>
            <w:r w:rsidR="007D5F9D" w:rsidRPr="00EB0C98">
              <w:rPr>
                <w:b w:val="0"/>
                <w:color w:val="FFFFFF" w:themeColor="background1"/>
              </w:rPr>
              <w:t>: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:rsidR="007D5F9D" w:rsidRPr="00EB0C98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>Assessor(s):</w:t>
            </w:r>
            <w:r w:rsidR="003A79FE" w:rsidRPr="00EB0C98">
              <w:rPr>
                <w:color w:val="FFFFFF" w:themeColor="background1"/>
              </w:rPr>
              <w:t xml:space="preserve"> [ risk assessor]</w:t>
            </w:r>
          </w:p>
        </w:tc>
        <w:tc>
          <w:tcPr>
            <w:tcW w:w="3696" w:type="dxa"/>
            <w:shd w:val="clear" w:color="auto" w:fill="4F81BD" w:themeFill="accent1"/>
          </w:tcPr>
          <w:p w:rsidR="007D5F9D" w:rsidRPr="00EB0C98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EB0C98">
              <w:rPr>
                <w:color w:val="FFFFFF" w:themeColor="background1"/>
              </w:rPr>
              <w:t xml:space="preserve">Contact: </w:t>
            </w:r>
            <w:r w:rsidR="003A79FE" w:rsidRPr="00EB0C98">
              <w:rPr>
                <w:color w:val="FFFFFF" w:themeColor="background1"/>
              </w:rPr>
              <w:t>[e-mail]</w:t>
            </w:r>
          </w:p>
        </w:tc>
      </w:tr>
      <w:tr w:rsidR="00A26B8F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26B8F" w:rsidRDefault="003A79FE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:rsidTr="00EB0C98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:rsidR="007D5F9D" w:rsidRPr="003A2F8A" w:rsidRDefault="003A2F8A" w:rsidP="003A2F8A">
            <w:pPr>
              <w:pStyle w:val="ListParagraph"/>
              <w:numPr>
                <w:ilvl w:val="0"/>
                <w:numId w:val="1"/>
              </w:numPr>
            </w:pPr>
            <w:r w:rsidRPr="003A2F8A">
              <w:t>http://www.hse.gov.uk/Risk/faq.htm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7D5F9D" w:rsidRDefault="007D5F9D" w:rsidP="00203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Role:</w:t>
            </w:r>
            <w:r w:rsidR="003A79FE">
              <w:t xml:space="preserve"> </w:t>
            </w:r>
            <w:r w:rsidR="0020331E">
              <w:t>Event Organizer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:rsidR="007D5F9D" w:rsidRDefault="007D5F9D" w:rsidP="002033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79FE">
              <w:rPr>
                <w:b/>
                <w:bCs/>
              </w:rPr>
              <w:t>Skills, experience or qualifications</w:t>
            </w:r>
            <w:r w:rsidR="0020331E">
              <w:t xml:space="preserve">: </w:t>
            </w:r>
          </w:p>
        </w:tc>
      </w:tr>
      <w:tr w:rsidR="007D5F9D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566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Lizbeth Morales</w:t>
            </w: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44B8" w:rsidRDefault="0057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2033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&amp; Safety Risk assessment training offered by the university of Southampton on the 8</w:t>
            </w:r>
            <w:r>
              <w:rPr>
                <w:vertAlign w:val="superscript"/>
              </w:rPr>
              <w:t xml:space="preserve">th </w:t>
            </w:r>
            <w:r>
              <w:t>of December 2015</w:t>
            </w:r>
            <w:bookmarkStart w:id="0" w:name="_GoBack"/>
            <w:bookmarkEnd w:id="0"/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F9D" w:rsidRDefault="007D5F9D" w:rsidP="0002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F9D" w:rsidTr="00EB0C9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:rsidR="007D5F9D" w:rsidRPr="00C96EAA" w:rsidRDefault="00F252B6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744B8" w:rsidRDefault="005744B8" w:rsidP="005744B8">
            <w:r>
              <w:t>Risk of fire (covered by</w:t>
            </w:r>
            <w:r w:rsidR="004A665A">
              <w:t xml:space="preserve"> the venue</w:t>
            </w:r>
            <w:r>
              <w:t xml:space="preserve"> operator)</w:t>
            </w:r>
          </w:p>
          <w:p w:rsidR="005744B8" w:rsidRDefault="005744B8" w:rsidP="005744B8">
            <w:r>
              <w:t xml:space="preserve">Risk of electric shock burn </w:t>
            </w:r>
            <w:r w:rsidR="004A665A">
              <w:t>(covered by the venue operator)</w:t>
            </w:r>
          </w:p>
          <w:p w:rsidR="007D5F9D" w:rsidRDefault="005744B8">
            <w:r>
              <w:t xml:space="preserve">Risk of violence </w:t>
            </w:r>
            <w:r w:rsidR="004A665A">
              <w:t>(covered by the venue operator)</w:t>
            </w:r>
          </w:p>
          <w:p w:rsidR="005744B8" w:rsidRDefault="005744B8"/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361"/>
        <w:gridCol w:w="1812"/>
        <w:gridCol w:w="1393"/>
        <w:gridCol w:w="2928"/>
        <w:gridCol w:w="1113"/>
        <w:gridCol w:w="3626"/>
        <w:gridCol w:w="1013"/>
        <w:gridCol w:w="1639"/>
        <w:gridCol w:w="840"/>
      </w:tblGrid>
      <w:tr w:rsidR="00EB0C98" w:rsidRPr="008419EF" w:rsidTr="00EB0C98">
        <w:trPr>
          <w:trHeight w:val="642"/>
        </w:trPr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EB0C98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EB0C98" w:rsidRPr="008419EF" w:rsidRDefault="00EB0C98" w:rsidP="00EB0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EB0C98" w:rsidRPr="008419EF" w:rsidTr="00EB0C98">
        <w:trPr>
          <w:trHeight w:val="51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A37232" w:rsidP="00A37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Dancing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A37232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Slips, trips and falls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A37232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Attendants: During the </w:t>
            </w:r>
            <w:r w:rsidR="00D9501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nature of the event might experience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slips, trips or falls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A3723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Make sure that there are no spills on the floor, that the venue has a dancing floor layout.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A3723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0E2A83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further action is necessary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C98" w:rsidRPr="008419EF" w:rsidRDefault="00EB0C98" w:rsidP="00EB0C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Drinking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Slips, trips and falls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Attendants: During the </w:t>
            </w:r>
            <w:r w:rsidR="00D9501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nature of the event might experience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slips, trips or falls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Make sure that there are no spills on the floor, that the venue has a dancing floor layout.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 further action is necessary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49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Drinking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Alcohol poisoning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Attendants might drink a larger amount of alcohol than they could actually tolerate.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Eventual check outs from the security staff on the attendants that might present drunk symptoms.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 further action is necessary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56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Crowds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Risk of crushing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Attendants might suffer risk of crushing if the capacity of the venue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is exceeded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Make sure that the number of tickets sold is not going to exceed the maximum capacity of the venue.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7688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768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 further action is necessary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76888">
              <w:rPr>
                <w:rFonts w:ascii="Calibri" w:eastAsia="Times New Roman" w:hAnsi="Calibri" w:cs="Times New Roman"/>
                <w:color w:val="000000"/>
                <w:lang w:eastAsia="en-GB"/>
              </w:rPr>
              <w:t>Noise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476888" w:rsidP="00476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Permanent or temporary hearing damage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476888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Attendants might experience hearing problems due to exposure to loud music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476888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Limited range of music volume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7688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4768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 further action is necessary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5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1453DA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Handling money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1453DA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Risk of theft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1453DA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Organizers could suffer a possible risk of theft as they will be collecting money of the entrance tickets at the venue.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1453DA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Always handle money in groups</w:t>
            </w:r>
            <w:r w:rsidR="0066280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while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being inside and outside of the location of the event</w:t>
            </w:r>
            <w:r w:rsidR="00662801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1453DA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1453D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 further action is necessary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52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6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5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4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70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6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E2A83" w:rsidRPr="008419EF" w:rsidTr="00EB0C98">
        <w:trPr>
          <w:trHeight w:val="544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A83" w:rsidRPr="008419EF" w:rsidRDefault="000E2A83" w:rsidP="000E2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A940E3" w:rsidRDefault="00A940E3"/>
    <w:p w:rsidR="00A37232" w:rsidRDefault="00A37232"/>
    <w:p w:rsidR="00A37232" w:rsidRDefault="00A37232"/>
    <w:p w:rsidR="005175E1" w:rsidRDefault="005175E1"/>
    <w:p w:rsidR="005175E1" w:rsidRDefault="005175E1"/>
    <w:p w:rsidR="005175E1" w:rsidRDefault="005175E1"/>
    <w:p w:rsidR="005175E1" w:rsidRDefault="005175E1"/>
    <w:p w:rsidR="005175E1" w:rsidRDefault="005175E1"/>
    <w:p w:rsidR="005175E1" w:rsidRDefault="005175E1"/>
    <w:p w:rsidR="005175E1" w:rsidRDefault="005175E1"/>
    <w:p w:rsidR="005175E1" w:rsidRDefault="005175E1"/>
    <w:p w:rsidR="005175E1" w:rsidRDefault="005175E1"/>
    <w:p w:rsidR="005175E1" w:rsidRDefault="005175E1"/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EB0C98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:rsidR="00EB0C98" w:rsidRDefault="00EB0C98" w:rsidP="00EB0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EB0C98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B0C98" w:rsidRDefault="00EB0C9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(SA/DM):</w:t>
            </w: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0C98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0C98" w:rsidTr="00EB0C98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:rsidR="00EB0C98" w:rsidRDefault="00F108D8" w:rsidP="00EB0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Southampton</w:t>
            </w:r>
            <w:r w:rsidR="00EB0C98">
              <w:rPr>
                <w:sz w:val="20"/>
                <w:szCs w:val="20"/>
              </w:rPr>
              <w:t xml:space="preserve"> H&amp;S manager (where applicable):</w:t>
            </w:r>
          </w:p>
        </w:tc>
        <w:tc>
          <w:tcPr>
            <w:tcW w:w="3542" w:type="dxa"/>
          </w:tcPr>
          <w:p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:rsidR="00EB0C98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27" w:tblpY="3935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EB0C98" w:rsidTr="00EB0C98">
        <w:trPr>
          <w:trHeight w:val="793"/>
        </w:trPr>
        <w:tc>
          <w:tcPr>
            <w:tcW w:w="7650" w:type="dxa"/>
            <w:gridSpan w:val="4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0B903C2" wp14:editId="04D21035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DE55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 w:val="restart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C475EF" wp14:editId="50ECF989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C2FAF" id="Straight Arrow Connector 3" o:spid="_x0000_s1026" type="#_x0000_t32" style="position:absolute;margin-left:74.5pt;margin-top:1.25pt;width:0;height:92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</w:p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/>
          </w:tcPr>
          <w:p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0C98" w:rsidTr="00EB0C98">
        <w:trPr>
          <w:trHeight w:val="793"/>
        </w:trPr>
        <w:tc>
          <w:tcPr>
            <w:tcW w:w="1912" w:type="dxa"/>
            <w:vMerge/>
          </w:tcPr>
          <w:p w:rsidR="00EB0C98" w:rsidRDefault="00EB0C98" w:rsidP="00EB0C9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:rsidR="00EB0C98" w:rsidRDefault="00EB0C98" w:rsidP="00EB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419EF" w:rsidRPr="00A940E3" w:rsidRDefault="008419EF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44"/>
        <w:gridCol w:w="5931"/>
      </w:tblGrid>
      <w:tr w:rsidR="00EB0C98" w:rsidRPr="00327A42" w:rsidTr="00EB0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EB0C98" w:rsidRPr="00327A42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EB0C98" w:rsidRPr="00327A42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EB0C98" w:rsidRPr="00327A42" w:rsidTr="00EB0C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EB0C98" w:rsidRPr="00327A42" w:rsidTr="00EB0C9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B0C98" w:rsidRPr="00327A42" w:rsidRDefault="00EB0C98" w:rsidP="00EB0C98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EB0C98" w:rsidRPr="00327A42" w:rsidRDefault="00EB0C98" w:rsidP="00EB0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:rsidTr="003B4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Pr="00327A42" w:rsidRDefault="003B4420" w:rsidP="003B4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:rsidTr="003B4420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:rsidTr="003B44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:rsidR="003B4420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:rsidR="003B4420" w:rsidRPr="00327A42" w:rsidRDefault="003B4420" w:rsidP="003B4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:rsidTr="003B4420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B4420" w:rsidRPr="00327A42" w:rsidRDefault="003B4420" w:rsidP="003B4420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3B4420" w:rsidRPr="00327A42" w:rsidRDefault="003B4420" w:rsidP="003B4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:rsidR="003B4420" w:rsidRDefault="003B4420">
      <w:pPr>
        <w:rPr>
          <w:sz w:val="20"/>
          <w:szCs w:val="20"/>
        </w:rPr>
      </w:pPr>
    </w:p>
    <w:p w:rsidR="003B4420" w:rsidRPr="00A940E3" w:rsidRDefault="003B4420">
      <w:pPr>
        <w:rPr>
          <w:sz w:val="20"/>
          <w:szCs w:val="20"/>
        </w:rPr>
      </w:pPr>
    </w:p>
    <w:p w:rsidR="00A940E3" w:rsidRPr="00A940E3" w:rsidRDefault="00A940E3">
      <w:pPr>
        <w:rPr>
          <w:sz w:val="20"/>
          <w:szCs w:val="20"/>
        </w:rPr>
      </w:pPr>
    </w:p>
    <w:p w:rsidR="00A940E3" w:rsidRPr="00A940E3" w:rsidRDefault="00A940E3">
      <w:pPr>
        <w:rPr>
          <w:sz w:val="20"/>
          <w:szCs w:val="20"/>
        </w:rPr>
      </w:pPr>
    </w:p>
    <w:p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47" w:rsidRDefault="00EE1147" w:rsidP="00A26B8F">
      <w:pPr>
        <w:spacing w:after="0" w:line="240" w:lineRule="auto"/>
      </w:pPr>
      <w:r>
        <w:separator/>
      </w:r>
    </w:p>
  </w:endnote>
  <w:endnote w:type="continuationSeparator" w:id="0">
    <w:p w:rsidR="00EE1147" w:rsidRDefault="00EE1147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DF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47" w:rsidRDefault="00EE1147" w:rsidP="00A26B8F">
      <w:pPr>
        <w:spacing w:after="0" w:line="240" w:lineRule="auto"/>
      </w:pPr>
      <w:r>
        <w:separator/>
      </w:r>
    </w:p>
  </w:footnote>
  <w:footnote w:type="continuationSeparator" w:id="0">
    <w:p w:rsidR="00EE1147" w:rsidRDefault="00EE1147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8F" w:rsidRPr="00A26B8F" w:rsidRDefault="00F108D8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78089A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1C5949" wp14:editId="639A14F1">
          <wp:simplePos x="0" y="0"/>
          <wp:positionH relativeFrom="column">
            <wp:posOffset>8010525</wp:posOffset>
          </wp:positionH>
          <wp:positionV relativeFrom="paragraph">
            <wp:posOffset>-144780</wp:posOffset>
          </wp:positionV>
          <wp:extent cx="1283335" cy="1165860"/>
          <wp:effectExtent l="0" t="0" r="0" b="0"/>
          <wp:wrapSquare wrapText="bothSides"/>
          <wp:docPr id="4" name="Picture 4" descr="J:\Operations\Marketing\Design\Union Southampton Brand Assets_\0 Logo\Union Southampton_Logo_Main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Operations\Marketing\Design\Union Southampton Brand Assets_\0 Logo\Union Southampton_Logo_Main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26B8F"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 w:rsidR="00A26B8F">
      <w:rPr>
        <w:b/>
        <w:bCs/>
        <w:color w:val="1F497D" w:themeColor="text2"/>
        <w:sz w:val="56"/>
        <w:szCs w:val="56"/>
      </w:rPr>
      <w:tab/>
    </w:r>
  </w:p>
  <w:p w:rsidR="00A26B8F" w:rsidRDefault="00A26B8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2NDIzMTE3MDAwszYyUdpeDU4uLM/DyQAuNaAAaZRMQsAAAA"/>
  </w:docVars>
  <w:rsids>
    <w:rsidRoot w:val="00884BB0"/>
    <w:rsid w:val="000E2A83"/>
    <w:rsid w:val="0011769D"/>
    <w:rsid w:val="001453DA"/>
    <w:rsid w:val="00184B11"/>
    <w:rsid w:val="0020331E"/>
    <w:rsid w:val="00234D6F"/>
    <w:rsid w:val="00266091"/>
    <w:rsid w:val="002D311B"/>
    <w:rsid w:val="00303FA3"/>
    <w:rsid w:val="00327A42"/>
    <w:rsid w:val="003A2F8A"/>
    <w:rsid w:val="003A79FE"/>
    <w:rsid w:val="003B4420"/>
    <w:rsid w:val="0040478E"/>
    <w:rsid w:val="00476888"/>
    <w:rsid w:val="00486236"/>
    <w:rsid w:val="004A665A"/>
    <w:rsid w:val="005175E1"/>
    <w:rsid w:val="00566DF6"/>
    <w:rsid w:val="005744B8"/>
    <w:rsid w:val="005769AE"/>
    <w:rsid w:val="005F124E"/>
    <w:rsid w:val="00662801"/>
    <w:rsid w:val="00736C24"/>
    <w:rsid w:val="00766BB2"/>
    <w:rsid w:val="007D5F9D"/>
    <w:rsid w:val="008419EF"/>
    <w:rsid w:val="00884BB0"/>
    <w:rsid w:val="008A475F"/>
    <w:rsid w:val="00912C05"/>
    <w:rsid w:val="009D4F36"/>
    <w:rsid w:val="009F0F6B"/>
    <w:rsid w:val="00A26B8F"/>
    <w:rsid w:val="00A37232"/>
    <w:rsid w:val="00A940E3"/>
    <w:rsid w:val="00B23B9B"/>
    <w:rsid w:val="00BF3E53"/>
    <w:rsid w:val="00C30D0B"/>
    <w:rsid w:val="00C96EAA"/>
    <w:rsid w:val="00D10FD5"/>
    <w:rsid w:val="00D9501E"/>
    <w:rsid w:val="00E15A2F"/>
    <w:rsid w:val="00EB0C98"/>
    <w:rsid w:val="00EE1147"/>
    <w:rsid w:val="00F102B4"/>
    <w:rsid w:val="00F108D8"/>
    <w:rsid w:val="00F252B6"/>
    <w:rsid w:val="00F26DE7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1FA67"/>
  <w15:docId w15:val="{73BFE4D0-FAB1-47F6-BAFB-1F19DCC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E"/>
    <w:rsid w:val="00112A1E"/>
    <w:rsid w:val="00365249"/>
    <w:rsid w:val="006974A9"/>
    <w:rsid w:val="009C0673"/>
    <w:rsid w:val="00B57727"/>
    <w:rsid w:val="00C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Morales Berlanga L.</cp:lastModifiedBy>
  <cp:revision>2</cp:revision>
  <dcterms:created xsi:type="dcterms:W3CDTF">2018-08-17T14:24:00Z</dcterms:created>
  <dcterms:modified xsi:type="dcterms:W3CDTF">2018-08-17T14:24:00Z</dcterms:modified>
</cp:coreProperties>
</file>