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0F69" w:rsidRDefault="00960F69">
      <w:pPr>
        <w:spacing w:after="0"/>
        <w:rPr>
          <w:rFonts w:ascii="Arial" w:eastAsia="Arial" w:hAnsi="Arial" w:cs="Arial"/>
        </w:rPr>
      </w:pPr>
    </w:p>
    <w:tbl>
      <w:tblPr>
        <w:tblStyle w:val="a"/>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960F69" w:rsidTr="00960F69">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rsidR="00960F69" w:rsidRDefault="007B0D8E">
            <w:r>
              <w:t xml:space="preserve">Work/Activity: INDOOR TEAM SPORTS </w:t>
            </w:r>
          </w:p>
        </w:tc>
      </w:tr>
      <w:tr w:rsidR="00960F69" w:rsidTr="00960F69">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rsidR="00960F69" w:rsidRDefault="00960F69"/>
          <w:p w:rsidR="00960F69" w:rsidRDefault="007B0D8E">
            <w:r>
              <w:t xml:space="preserve">Southampton University Badminton Club Risk Assessment </w:t>
            </w:r>
          </w:p>
          <w:p w:rsidR="00960F69" w:rsidRDefault="00960F69"/>
          <w:p w:rsidR="00960F69" w:rsidRDefault="00960F69"/>
          <w:p w:rsidR="00960F69" w:rsidRDefault="00960F69"/>
        </w:tc>
      </w:tr>
      <w:tr w:rsidR="00960F69" w:rsidTr="00960F69">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rsidR="00960F69" w:rsidRDefault="007B0D8E">
            <w:r>
              <w:rPr>
                <w:b w:val="0"/>
              </w:rPr>
              <w:t>Department/Club: Badminton</w:t>
            </w:r>
          </w:p>
        </w:tc>
        <w:tc>
          <w:tcPr>
            <w:tcW w:w="2863" w:type="dxa"/>
            <w:shd w:val="clear" w:color="auto" w:fill="D9D9D9"/>
          </w:tcPr>
          <w:p w:rsidR="00960F69" w:rsidRDefault="007B0D8E" w:rsidP="00F238BD">
            <w:pPr>
              <w:cnfStyle w:val="000000000000" w:firstRow="0" w:lastRow="0" w:firstColumn="0" w:lastColumn="0" w:oddVBand="0" w:evenVBand="0" w:oddHBand="0" w:evenHBand="0" w:firstRowFirstColumn="0" w:firstRowLastColumn="0" w:lastRowFirstColumn="0" w:lastRowLastColumn="0"/>
            </w:pPr>
            <w:r>
              <w:t xml:space="preserve">Assessor(s): </w:t>
            </w:r>
            <w:r w:rsidR="00F238BD">
              <w:t>Nicholas Wilding</w:t>
            </w:r>
          </w:p>
        </w:tc>
        <w:tc>
          <w:tcPr>
            <w:tcW w:w="3696" w:type="dxa"/>
            <w:shd w:val="clear" w:color="auto" w:fill="D9D9D9"/>
          </w:tcPr>
          <w:p w:rsidR="00960F69" w:rsidRDefault="007B0D8E" w:rsidP="00F238BD">
            <w:pPr>
              <w:cnfStyle w:val="000000000000" w:firstRow="0" w:lastRow="0" w:firstColumn="0" w:lastColumn="0" w:oddVBand="0" w:evenVBand="0" w:oddHBand="0" w:evenHBand="0" w:firstRowFirstColumn="0" w:firstRowLastColumn="0" w:lastRowFirstColumn="0" w:lastRowLastColumn="0"/>
            </w:pPr>
            <w:r>
              <w:t>Contact: 0</w:t>
            </w:r>
            <w:r w:rsidR="00F238BD">
              <w:t>7468599069</w:t>
            </w:r>
          </w:p>
        </w:tc>
      </w:tr>
      <w:tr w:rsidR="00960F69" w:rsidTr="00960F6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rsidR="00960F69" w:rsidRDefault="007B0D8E">
            <w:r>
              <w:rPr>
                <w:b w:val="0"/>
              </w:rPr>
              <w:t xml:space="preserve">Guidance/standards/Reference documents:  </w:t>
            </w:r>
          </w:p>
        </w:tc>
        <w:tc>
          <w:tcPr>
            <w:tcW w:w="6559" w:type="dxa"/>
            <w:gridSpan w:val="2"/>
            <w:tcBorders>
              <w:top w:val="nil"/>
              <w:bottom w:val="nil"/>
              <w:right w:val="nil"/>
            </w:tcBorders>
            <w:shd w:val="clear" w:color="auto" w:fill="D9D9D9"/>
          </w:tcPr>
          <w:p w:rsidR="00960F69" w:rsidRDefault="007B0D8E">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960F69" w:rsidTr="00960F69">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rsidR="00960F69" w:rsidRDefault="007B0D8E">
            <w:pPr>
              <w:numPr>
                <w:ilvl w:val="0"/>
                <w:numId w:val="1"/>
              </w:numPr>
              <w:spacing w:after="200" w:line="276" w:lineRule="auto"/>
              <w:contextualSpacing/>
            </w:pPr>
            <w:hyperlink r:id="rId7">
              <w:r>
                <w:rPr>
                  <w:rFonts w:ascii="Calibri" w:eastAsia="Calibri" w:hAnsi="Calibri" w:cs="Calibri"/>
                  <w:b w:val="0"/>
                  <w:color w:val="0000FF"/>
                  <w:u w:val="single"/>
                </w:rPr>
                <w:t>http://www.hse.gov.uk/Risk/faq.htm</w:t>
              </w:r>
            </w:hyperlink>
          </w:p>
          <w:p w:rsidR="00960F69" w:rsidRDefault="00960F69"/>
          <w:p w:rsidR="00960F69" w:rsidRDefault="007B0D8E">
            <w:r>
              <w:t>{SOURCE FROM NATIONAL GOVERNING BODY, SPORT ENGLAND, SPORTSCOACH UK}</w:t>
            </w:r>
          </w:p>
        </w:tc>
        <w:tc>
          <w:tcPr>
            <w:tcW w:w="2863" w:type="dxa"/>
            <w:shd w:val="clear" w:color="auto" w:fill="D9D9D9"/>
          </w:tcPr>
          <w:p w:rsidR="00960F69" w:rsidRDefault="007B0D8E">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rsidR="00960F69" w:rsidRDefault="007B0D8E">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960F69" w:rsidTr="00960F69">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rsidR="00960F69" w:rsidRDefault="00960F69"/>
        </w:tc>
        <w:tc>
          <w:tcPr>
            <w:tcW w:w="2863" w:type="dxa"/>
            <w:vMerge w:val="restart"/>
            <w:tcBorders>
              <w:top w:val="nil"/>
              <w:bottom w:val="nil"/>
            </w:tcBorders>
          </w:tcPr>
          <w:p w:rsidR="00960F69" w:rsidRDefault="007B0D8E">
            <w:pPr>
              <w:cnfStyle w:val="000000100000" w:firstRow="0" w:lastRow="0" w:firstColumn="0" w:lastColumn="0" w:oddVBand="0" w:evenVBand="0" w:oddHBand="1" w:evenHBand="0" w:firstRowFirstColumn="0" w:firstRowLastColumn="0" w:lastRowFirstColumn="0" w:lastRowLastColumn="0"/>
            </w:pPr>
            <w:r>
              <w:t>Ensure the club operates safely and efficien</w:t>
            </w:r>
            <w:r>
              <w:t xml:space="preserve">tly with the assistance of the Athletic </w:t>
            </w:r>
            <w:r w:rsidR="00F238BD">
              <w:t>U</w:t>
            </w:r>
            <w:r>
              <w:t>nion and the club committee.</w:t>
            </w: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rsidR="00960F69" w:rsidRDefault="007B0D8E">
            <w:pPr>
              <w:cnfStyle w:val="000000100000" w:firstRow="0" w:lastRow="0" w:firstColumn="0" w:lastColumn="0" w:oddVBand="0" w:evenVBand="0" w:oddHBand="1" w:evenHBand="0" w:firstRowFirstColumn="0" w:firstRowLastColumn="0" w:lastRowFirstColumn="0" w:lastRowLastColumn="0"/>
            </w:pPr>
            <w:r>
              <w:t xml:space="preserve">Badminton player for a number of years with </w:t>
            </w:r>
            <w:r w:rsidR="00F238BD">
              <w:t>numerous</w:t>
            </w:r>
            <w:r>
              <w:t xml:space="preserve"> clubs of all standards, player at Southampton University for 2 years.</w:t>
            </w:r>
          </w:p>
          <w:p w:rsidR="00960F69" w:rsidRDefault="007B0D8E">
            <w:pPr>
              <w:cnfStyle w:val="000000100000" w:firstRow="0" w:lastRow="0" w:firstColumn="0" w:lastColumn="0" w:oddVBand="0" w:evenVBand="0" w:oddHBand="1" w:evenHBand="0" w:firstRowFirstColumn="0" w:firstRowLastColumn="0" w:lastRowFirstColumn="0" w:lastRowLastColumn="0"/>
            </w:pPr>
            <w:r>
              <w:t>Com</w:t>
            </w:r>
            <w:r w:rsidR="00F238BD">
              <w:t>petent in recognising potential</w:t>
            </w:r>
            <w:r>
              <w:t xml:space="preserve"> risks.</w:t>
            </w:r>
          </w:p>
          <w:p w:rsidR="00960F69" w:rsidRDefault="007B0D8E">
            <w:pPr>
              <w:cnfStyle w:val="000000100000" w:firstRow="0" w:lastRow="0" w:firstColumn="0" w:lastColumn="0" w:oddVBand="0" w:evenVBand="0" w:oddHBand="1" w:evenHBand="0" w:firstRowFirstColumn="0" w:firstRowLastColumn="0" w:lastRowFirstColumn="0" w:lastRowLastColumn="0"/>
            </w:pPr>
            <w:r>
              <w:t>In direct contact with Badminton England qualified Coach to ensure safety requirements are met in training.</w:t>
            </w:r>
          </w:p>
          <w:p w:rsidR="00960F69" w:rsidRDefault="007B0D8E">
            <w:pPr>
              <w:cnfStyle w:val="000000100000" w:firstRow="0" w:lastRow="0" w:firstColumn="0" w:lastColumn="0" w:oddVBand="0" w:evenVBand="0" w:oddHBand="1" w:evenHBand="0" w:firstRowFirstColumn="0" w:firstRowLastColumn="0" w:lastRowFirstColumn="0" w:lastRowLastColumn="0"/>
            </w:pPr>
            <w:r>
              <w:t>Undertaken courses to</w:t>
            </w:r>
            <w:r>
              <w:t xml:space="preserve"> identify risks and how to mitigate losse</w:t>
            </w:r>
            <w:bookmarkStart w:id="0" w:name="_GoBack"/>
            <w:bookmarkEnd w:id="0"/>
            <w:r>
              <w:t>s.</w:t>
            </w: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tc>
      </w:tr>
      <w:tr w:rsidR="00960F69" w:rsidTr="00960F69">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rsidR="00960F69" w:rsidRDefault="007B0D8E">
            <w:r>
              <w:rPr>
                <w:b w:val="0"/>
              </w:rPr>
              <w:t>Risk assessments linked:</w:t>
            </w:r>
          </w:p>
        </w:tc>
        <w:tc>
          <w:tcPr>
            <w:tcW w:w="2863" w:type="dxa"/>
            <w:vMerge/>
            <w:tcBorders>
              <w:top w:val="nil"/>
              <w:bottom w:val="nil"/>
            </w:tcBorders>
          </w:tcPr>
          <w:p w:rsidR="00960F69" w:rsidRDefault="00960F69">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Borders>
              <w:top w:val="nil"/>
              <w:bottom w:val="nil"/>
              <w:right w:val="nil"/>
            </w:tcBorders>
          </w:tcPr>
          <w:p w:rsidR="00960F69" w:rsidRDefault="00960F69">
            <w:pPr>
              <w:cnfStyle w:val="000000000000" w:firstRow="0" w:lastRow="0" w:firstColumn="0" w:lastColumn="0" w:oddVBand="0" w:evenVBand="0" w:oddHBand="0" w:evenHBand="0" w:firstRowFirstColumn="0" w:firstRowLastColumn="0" w:lastRowFirstColumn="0" w:lastRowLastColumn="0"/>
            </w:pPr>
          </w:p>
          <w:p w:rsidR="00960F69" w:rsidRDefault="00960F69">
            <w:pPr>
              <w:cnfStyle w:val="000000000000" w:firstRow="0" w:lastRow="0" w:firstColumn="0" w:lastColumn="0" w:oddVBand="0" w:evenVBand="0" w:oddHBand="0" w:evenHBand="0" w:firstRowFirstColumn="0" w:firstRowLastColumn="0" w:lastRowFirstColumn="0" w:lastRowLastColumn="0"/>
            </w:pPr>
          </w:p>
        </w:tc>
      </w:tr>
      <w:tr w:rsidR="00960F69" w:rsidTr="00960F69">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rsidR="00960F69" w:rsidRDefault="00960F69"/>
          <w:p w:rsidR="00960F69" w:rsidRDefault="007B0D8E">
            <w:r>
              <w:t xml:space="preserve">S&amp;W Venue risk assessments e.g. Jubilee Sports Centre </w:t>
            </w:r>
          </w:p>
          <w:p w:rsidR="00960F69" w:rsidRDefault="007B0D8E">
            <w:r>
              <w:t>Venue Fire risk assessments and Emergency Action Plans</w:t>
            </w:r>
          </w:p>
          <w:p w:rsidR="00960F69" w:rsidRDefault="007B0D8E">
            <w:r>
              <w:t>SUSU Transport Risk Assessments</w:t>
            </w:r>
          </w:p>
        </w:tc>
        <w:tc>
          <w:tcPr>
            <w:tcW w:w="2863" w:type="dxa"/>
            <w:vMerge/>
            <w:tcBorders>
              <w:top w:val="nil"/>
              <w:bottom w:val="nil"/>
            </w:tcBorders>
          </w:tcPr>
          <w:p w:rsidR="00960F69" w:rsidRDefault="00960F69">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Borders>
              <w:top w:val="nil"/>
              <w:bottom w:val="nil"/>
              <w:right w:val="nil"/>
            </w:tcBorders>
          </w:tcPr>
          <w:p w:rsidR="00960F69" w:rsidRDefault="00960F69">
            <w:pPr>
              <w:cnfStyle w:val="000000100000" w:firstRow="0" w:lastRow="0" w:firstColumn="0" w:lastColumn="0" w:oddVBand="0" w:evenVBand="0" w:oddHBand="1" w:evenHBand="0" w:firstRowFirstColumn="0" w:firstRowLastColumn="0" w:lastRowFirstColumn="0" w:lastRowLastColumn="0"/>
            </w:pPr>
          </w:p>
          <w:p w:rsidR="00960F69" w:rsidRDefault="00960F69">
            <w:pPr>
              <w:cnfStyle w:val="000000100000" w:firstRow="0" w:lastRow="0" w:firstColumn="0" w:lastColumn="0" w:oddVBand="0" w:evenVBand="0" w:oddHBand="1" w:evenHBand="0" w:firstRowFirstColumn="0" w:firstRowLastColumn="0" w:lastRowFirstColumn="0" w:lastRowLastColumn="0"/>
            </w:pPr>
          </w:p>
        </w:tc>
      </w:tr>
    </w:tbl>
    <w:p w:rsidR="00960F69" w:rsidRDefault="00960F69"/>
    <w:tbl>
      <w:tblPr>
        <w:tblStyle w:val="a0"/>
        <w:tblW w:w="16485" w:type="dxa"/>
        <w:tblInd w:w="-750" w:type="dxa"/>
        <w:tblLayout w:type="fixed"/>
        <w:tblLook w:val="0400" w:firstRow="0" w:lastRow="0" w:firstColumn="0" w:lastColumn="0" w:noHBand="0" w:noVBand="1"/>
      </w:tblPr>
      <w:tblGrid>
        <w:gridCol w:w="1440"/>
        <w:gridCol w:w="1935"/>
        <w:gridCol w:w="1710"/>
        <w:gridCol w:w="2490"/>
        <w:gridCol w:w="1275"/>
        <w:gridCol w:w="3855"/>
        <w:gridCol w:w="1365"/>
        <w:gridCol w:w="960"/>
        <w:gridCol w:w="1455"/>
      </w:tblGrid>
      <w:tr w:rsidR="00960F69">
        <w:trPr>
          <w:trHeight w:val="640"/>
        </w:trPr>
        <w:tc>
          <w:tcPr>
            <w:tcW w:w="1440" w:type="dxa"/>
            <w:tcBorders>
              <w:top w:val="single" w:sz="8" w:space="0" w:color="000000"/>
              <w:left w:val="single" w:sz="8" w:space="0" w:color="000000"/>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Task</w:t>
            </w:r>
          </w:p>
        </w:tc>
        <w:tc>
          <w:tcPr>
            <w:tcW w:w="1935"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Hazards</w:t>
            </w:r>
          </w:p>
        </w:tc>
        <w:tc>
          <w:tcPr>
            <w:tcW w:w="1710"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Who might be harmed and how</w:t>
            </w:r>
          </w:p>
        </w:tc>
        <w:tc>
          <w:tcPr>
            <w:tcW w:w="2490"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Current control measures</w:t>
            </w:r>
          </w:p>
        </w:tc>
        <w:tc>
          <w:tcPr>
            <w:tcW w:w="1275"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Current risk /9</w:t>
            </w:r>
          </w:p>
        </w:tc>
        <w:tc>
          <w:tcPr>
            <w:tcW w:w="3855"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Additional control measures</w:t>
            </w:r>
          </w:p>
        </w:tc>
        <w:tc>
          <w:tcPr>
            <w:tcW w:w="1365"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Action by whom?</w:t>
            </w:r>
          </w:p>
        </w:tc>
        <w:tc>
          <w:tcPr>
            <w:tcW w:w="960" w:type="dxa"/>
            <w:tcBorders>
              <w:top w:val="single" w:sz="8" w:space="0" w:color="000000"/>
              <w:left w:val="nil"/>
              <w:bottom w:val="single" w:sz="4" w:space="0" w:color="000000"/>
              <w:right w:val="single" w:sz="8" w:space="0" w:color="000000"/>
            </w:tcBorders>
            <w:shd w:val="clear" w:color="auto" w:fill="808080"/>
            <w:vAlign w:val="center"/>
          </w:tcPr>
          <w:p w:rsidR="00960F69" w:rsidRDefault="007B0D8E">
            <w:pPr>
              <w:spacing w:after="0" w:line="240" w:lineRule="auto"/>
              <w:jc w:val="center"/>
              <w:rPr>
                <w:color w:val="FFFFFF"/>
                <w:sz w:val="20"/>
                <w:szCs w:val="20"/>
              </w:rPr>
            </w:pPr>
            <w:r>
              <w:rPr>
                <w:color w:val="FFFFFF"/>
                <w:sz w:val="20"/>
                <w:szCs w:val="20"/>
              </w:rPr>
              <w:t>Residual risk</w:t>
            </w:r>
          </w:p>
          <w:p w:rsidR="00960F69" w:rsidRDefault="007B0D8E">
            <w:pPr>
              <w:spacing w:after="0" w:line="240" w:lineRule="auto"/>
              <w:jc w:val="center"/>
              <w:rPr>
                <w:color w:val="FFFFFF"/>
                <w:sz w:val="20"/>
                <w:szCs w:val="20"/>
              </w:rPr>
            </w:pPr>
            <w:r>
              <w:rPr>
                <w:color w:val="FFFFFF"/>
                <w:sz w:val="20"/>
                <w:szCs w:val="20"/>
              </w:rPr>
              <w:t>/9</w:t>
            </w:r>
          </w:p>
        </w:tc>
        <w:tc>
          <w:tcPr>
            <w:tcW w:w="1455" w:type="dxa"/>
            <w:tcBorders>
              <w:top w:val="single" w:sz="8" w:space="0" w:color="000000"/>
              <w:left w:val="nil"/>
              <w:bottom w:val="single" w:sz="4" w:space="0" w:color="000000"/>
              <w:right w:val="single" w:sz="8" w:space="0" w:color="000000"/>
            </w:tcBorders>
            <w:shd w:val="clear" w:color="auto" w:fill="BFBFBF"/>
            <w:vAlign w:val="center"/>
          </w:tcPr>
          <w:p w:rsidR="00960F69" w:rsidRDefault="007B0D8E">
            <w:pPr>
              <w:spacing w:after="0" w:line="240" w:lineRule="auto"/>
              <w:jc w:val="center"/>
              <w:rPr>
                <w:color w:val="FFFFFF"/>
                <w:sz w:val="20"/>
                <w:szCs w:val="20"/>
              </w:rPr>
            </w:pPr>
            <w:r>
              <w:rPr>
                <w:color w:val="FFFFFF"/>
                <w:sz w:val="20"/>
                <w:szCs w:val="20"/>
              </w:rPr>
              <w:t>check SA/DM</w:t>
            </w:r>
          </w:p>
        </w:tc>
      </w:tr>
      <w:tr w:rsidR="00960F69">
        <w:trPr>
          <w:trHeight w:val="50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 Loss of balance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Players </w:t>
            </w:r>
            <w:r>
              <w:rPr>
                <w:sz w:val="16"/>
                <w:szCs w:val="16"/>
              </w:rPr>
              <w:t xml:space="preserve"> - causing sprains, strains, bruising, fractures and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Drills and training is run and directed by fully qualified coach. Players sent to medical staff if problem, immediately icing injury.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 supervised by competent badminton England qualified club personnel. Skill level of drills appropriate too skill</w:t>
            </w:r>
            <w:r>
              <w:rPr>
                <w:sz w:val="16"/>
                <w:szCs w:val="16"/>
              </w:rPr>
              <w:t xml:space="preserve"> levels of players. Suitable footwear to be worn for indoor sports.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w:t>
            </w:r>
          </w:p>
          <w:p w:rsidR="00960F69" w:rsidRDefault="007B0D8E">
            <w:pPr>
              <w:spacing w:after="0" w:line="240" w:lineRule="auto"/>
            </w:pPr>
            <w:r>
              <w:t>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w:t>
            </w:r>
          </w:p>
        </w:tc>
      </w:tr>
      <w:tr w:rsidR="00960F69">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 Unintended collision with other players/equipment.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w:t>
            </w:r>
            <w:r>
              <w:rPr>
                <w:sz w:val="16"/>
                <w:szCs w:val="16"/>
              </w:rPr>
              <w:t>- sprains, strains, bruising, fractures and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Drills and training is run and directed by fully qualified coach. Players sent to medical staff if problem, immediately icing injury.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rFonts w:ascii="Tahoma" w:eastAsia="Tahoma" w:hAnsi="Tahoma" w:cs="Tahoma"/>
                <w:b/>
                <w:sz w:val="16"/>
                <w:szCs w:val="16"/>
              </w:rPr>
              <w:t xml:space="preserve"> </w:t>
            </w:r>
            <w:r>
              <w:rPr>
                <w:sz w:val="16"/>
                <w:szCs w:val="16"/>
              </w:rPr>
              <w:t>Training supervised by competent badminton England qualified club personnel. Skill level of drills appropriate too skil</w:t>
            </w:r>
            <w:r>
              <w:rPr>
                <w:sz w:val="16"/>
                <w:szCs w:val="16"/>
              </w:rPr>
              <w:t>l levels of players. Suitable footwear to be worn for indoor sports. Which is checked by club members</w:t>
            </w:r>
            <w:r>
              <w:rPr>
                <w:rFonts w:ascii="Tahoma" w:eastAsia="Tahoma" w:hAnsi="Tahoma" w:cs="Tahoma"/>
                <w:b/>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 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w:t>
            </w:r>
          </w:p>
        </w:tc>
      </w:tr>
      <w:tr w:rsidR="00960F69">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Lack of Knowledge/skill.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Players – especially novices - </w:t>
            </w:r>
            <w:r>
              <w:rPr>
                <w:sz w:val="16"/>
                <w:szCs w:val="16"/>
              </w:rPr>
              <w:t xml:space="preserve"> chronic injury due to poor technique or training discipline</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All players are at high level, if a player is performing poor technique, this can be rectified by multiple members of the club.</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Competent coaches and players able to advice, To proactively moni</w:t>
            </w:r>
            <w:r>
              <w:rPr>
                <w:sz w:val="16"/>
                <w:szCs w:val="16"/>
              </w:rPr>
              <w:t xml:space="preserve">tor physical conditioning of players. Coaches to ensure that appropriate warm up/cool down and flexibility drills included in every training session. Club is led on a group warm up which included sprints, and flexibility work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 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w:t>
            </w:r>
          </w:p>
        </w:tc>
      </w:tr>
      <w:tr w:rsidR="00960F69">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Exhaustion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w:t>
            </w:r>
            <w:r>
              <w:rPr>
                <w:sz w:val="16"/>
                <w:szCs w:val="16"/>
              </w:rPr>
              <w:t xml:space="preserve"> -hypoglycaemia, nausea, fainting and/ or vomiting</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 are monitored by coaches, all players are encouraged to bring drinks to hydrate in between games.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Competent badminton England coach to supervise and proactively</w:t>
            </w:r>
            <w:r>
              <w:rPr>
                <w:sz w:val="16"/>
                <w:szCs w:val="16"/>
              </w:rPr>
              <w:t xml:space="preserve"> monitor players in all training sessions. Sugary drink to be brought by coaches to each session.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 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w:t>
            </w:r>
          </w:p>
        </w:tc>
      </w:tr>
      <w:tr w:rsidR="00960F69">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Circumstantial</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Dehydration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Drinking water available at all S&amp;W facilities.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3</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Competent Badminton England qualified coach to supervise and proactively monitor players in all training sessions. Water available at venue. Players required to bring their own water bottle to all club sessions.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Coach, 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 </w:t>
            </w:r>
          </w:p>
        </w:tc>
      </w:tr>
      <w:tr w:rsidR="00960F69">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lastRenderedPageBreak/>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Collision with net posts or nets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Players-bruising, fractures,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Drills and training to be controlled to minimise the risk.  Ensure all nets and net posts are in the correct position.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rFonts w:ascii="Tahoma" w:eastAsia="Tahoma" w:hAnsi="Tahoma" w:cs="Tahoma"/>
                <w:sz w:val="16"/>
                <w:szCs w:val="16"/>
              </w:rPr>
            </w:pPr>
            <w:r>
              <w:rPr>
                <w:sz w:val="16"/>
                <w:szCs w:val="16"/>
              </w:rPr>
              <w:t xml:space="preserve">Warn less experienced players about this hazard.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 c</w:t>
            </w:r>
            <w:r>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960F69">
            <w:pPr>
              <w:spacing w:after="0" w:line="240" w:lineRule="auto"/>
            </w:pPr>
          </w:p>
        </w:tc>
      </w:tr>
      <w:tr w:rsidR="00960F69">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Tripping over shuttle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w:t>
            </w:r>
            <w:r>
              <w:rPr>
                <w:sz w:val="16"/>
                <w:szCs w:val="16"/>
              </w:rPr>
              <w:t xml:space="preserve"> sprains, strains, bruising, fractures</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 xml:space="preserve">Clear away all shuttles after training and matches.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rFonts w:ascii="Tahoma" w:eastAsia="Tahoma" w:hAnsi="Tahoma" w:cs="Tahoma"/>
                <w:sz w:val="16"/>
                <w:szCs w:val="16"/>
              </w:rPr>
            </w:pPr>
            <w:r>
              <w:rPr>
                <w:sz w:val="16"/>
                <w:szCs w:val="16"/>
              </w:rPr>
              <w:t>Advise players to check court for shuttles before starting a game or practice.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 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960F69">
            <w:pPr>
              <w:spacing w:after="0" w:line="240" w:lineRule="auto"/>
            </w:pPr>
          </w:p>
        </w:tc>
      </w:tr>
      <w:tr w:rsidR="00960F69">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Slip on dirty floor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Players- Bruising, fractures, sprains,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All players wear indoor court shoes and aim to keep courts clean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F69" w:rsidRDefault="007B0D8E">
            <w:pPr>
              <w:spacing w:after="0" w:line="240" w:lineRule="auto"/>
              <w:jc w:val="center"/>
              <w:rPr>
                <w:sz w:val="16"/>
                <w:szCs w:val="16"/>
              </w:rPr>
            </w:pPr>
            <w:r>
              <w:rPr>
                <w:sz w:val="16"/>
                <w:szCs w:val="16"/>
              </w:rPr>
              <w:t>Jubilee sports hall staff to use “V Mop” to clean courts after fitness classes/ events before training sessions where people bring dirt in.</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Coach, committee, Jubilee staff</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7B0D8E">
            <w:pPr>
              <w:spacing w:after="0" w:line="240" w:lineRule="auto"/>
            </w:pPr>
            <w:r>
              <w:t>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0F69" w:rsidRDefault="00960F69">
            <w:pPr>
              <w:spacing w:after="0" w:line="240" w:lineRule="auto"/>
            </w:pPr>
          </w:p>
        </w:tc>
      </w:tr>
    </w:tbl>
    <w:p w:rsidR="00960F69" w:rsidRDefault="00960F69">
      <w:pPr>
        <w:rPr>
          <w:sz w:val="20"/>
          <w:szCs w:val="20"/>
        </w:rPr>
      </w:pPr>
    </w:p>
    <w:p w:rsidR="00960F69" w:rsidRDefault="00960F69">
      <w:pPr>
        <w:rPr>
          <w:sz w:val="20"/>
          <w:szCs w:val="20"/>
        </w:rPr>
      </w:pPr>
    </w:p>
    <w:p w:rsidR="00960F69" w:rsidRDefault="00960F69">
      <w:pPr>
        <w:rPr>
          <w:sz w:val="20"/>
          <w:szCs w:val="20"/>
        </w:rPr>
      </w:pPr>
    </w:p>
    <w:tbl>
      <w:tblPr>
        <w:tblStyle w:val="a1"/>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960F69" w:rsidTr="00960F6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rsidR="00960F69" w:rsidRDefault="007B0D8E">
            <w:pPr>
              <w:tabs>
                <w:tab w:val="left" w:pos="1717"/>
              </w:tabs>
              <w:rPr>
                <w:sz w:val="20"/>
                <w:szCs w:val="20"/>
              </w:rPr>
            </w:pPr>
            <w:r>
              <w:rPr>
                <w:sz w:val="20"/>
                <w:szCs w:val="20"/>
              </w:rPr>
              <w:t>Reviewed By:</w:t>
            </w:r>
            <w:r>
              <w:rPr>
                <w:sz w:val="20"/>
                <w:szCs w:val="20"/>
              </w:rPr>
              <w:tab/>
            </w:r>
          </w:p>
        </w:tc>
        <w:tc>
          <w:tcPr>
            <w:tcW w:w="7120" w:type="dxa"/>
            <w:shd w:val="clear" w:color="auto" w:fill="808080"/>
          </w:tcPr>
          <w:p w:rsidR="00960F69" w:rsidRDefault="007B0D8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960F69" w:rsidTr="00960F6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rsidR="00960F69" w:rsidRDefault="007B0D8E">
            <w:pPr>
              <w:rPr>
                <w:sz w:val="20"/>
                <w:szCs w:val="20"/>
              </w:rPr>
            </w:pPr>
            <w:r>
              <w:rPr>
                <w:sz w:val="20"/>
                <w:szCs w:val="20"/>
              </w:rPr>
              <w:t>Responsible person (SA/DM):</w:t>
            </w:r>
          </w:p>
        </w:tc>
        <w:tc>
          <w:tcPr>
            <w:tcW w:w="3561" w:type="dxa"/>
            <w:tcBorders>
              <w:top w:val="nil"/>
              <w:bottom w:val="nil"/>
            </w:tcBorders>
          </w:tcPr>
          <w:p w:rsidR="00960F69" w:rsidRDefault="007B0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rsidR="00960F69" w:rsidRDefault="00960F69">
            <w:pPr>
              <w:cnfStyle w:val="000000100000" w:firstRow="0" w:lastRow="0" w:firstColumn="0" w:lastColumn="0" w:oddVBand="0" w:evenVBand="0" w:oddHBand="1" w:evenHBand="0" w:firstRowFirstColumn="0" w:firstRowLastColumn="0" w:lastRowFirstColumn="0" w:lastRowLastColumn="0"/>
              <w:rPr>
                <w:sz w:val="20"/>
                <w:szCs w:val="20"/>
              </w:rPr>
            </w:pPr>
          </w:p>
        </w:tc>
      </w:tr>
      <w:tr w:rsidR="00960F69" w:rsidTr="00960F69">
        <w:trPr>
          <w:trHeight w:val="640"/>
        </w:trPr>
        <w:tc>
          <w:tcPr>
            <w:cnfStyle w:val="001000000000" w:firstRow="0" w:lastRow="0" w:firstColumn="1" w:lastColumn="0" w:oddVBand="0" w:evenVBand="0" w:oddHBand="0" w:evenHBand="0" w:firstRowFirstColumn="0" w:firstRowLastColumn="0" w:lastRowFirstColumn="0" w:lastRowLastColumn="0"/>
            <w:tcW w:w="3559" w:type="dxa"/>
          </w:tcPr>
          <w:p w:rsidR="00960F69" w:rsidRDefault="007B0D8E">
            <w:pPr>
              <w:rPr>
                <w:sz w:val="20"/>
                <w:szCs w:val="20"/>
              </w:rPr>
            </w:pPr>
            <w:r>
              <w:rPr>
                <w:sz w:val="20"/>
                <w:szCs w:val="20"/>
              </w:rPr>
              <w:t>SUSU H&amp;</w:t>
            </w:r>
            <w:r>
              <w:rPr>
                <w:sz w:val="20"/>
                <w:szCs w:val="20"/>
              </w:rPr>
              <w:t>S manager (where applicable):</w:t>
            </w:r>
          </w:p>
        </w:tc>
        <w:tc>
          <w:tcPr>
            <w:tcW w:w="3561" w:type="dxa"/>
          </w:tcPr>
          <w:p w:rsidR="00960F69" w:rsidRDefault="007B0D8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rsidR="00960F69" w:rsidRDefault="00960F69">
            <w:pPr>
              <w:cnfStyle w:val="000000000000" w:firstRow="0" w:lastRow="0" w:firstColumn="0" w:lastColumn="0" w:oddVBand="0" w:evenVBand="0" w:oddHBand="0" w:evenHBand="0" w:firstRowFirstColumn="0" w:firstRowLastColumn="0" w:lastRowFirstColumn="0" w:lastRowLastColumn="0"/>
              <w:rPr>
                <w:sz w:val="20"/>
                <w:szCs w:val="20"/>
              </w:rPr>
            </w:pPr>
          </w:p>
        </w:tc>
      </w:tr>
    </w:tbl>
    <w:p w:rsidR="00960F69" w:rsidRDefault="00960F69">
      <w:pPr>
        <w:rPr>
          <w:sz w:val="20"/>
          <w:szCs w:val="20"/>
        </w:rPr>
      </w:pPr>
    </w:p>
    <w:tbl>
      <w:tblPr>
        <w:tblStyle w:val="a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960F69" w:rsidTr="00960F69">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rsidR="00960F69" w:rsidRDefault="007B0D8E">
            <w:pPr>
              <w:rPr>
                <w:rFonts w:ascii="Verdana" w:eastAsia="Verdana" w:hAnsi="Verdana" w:cs="Verdana"/>
                <w:sz w:val="19"/>
                <w:szCs w:val="19"/>
              </w:rPr>
            </w:pPr>
            <w:r>
              <w:rPr>
                <w:rFonts w:ascii="Verdana" w:eastAsia="Verdana" w:hAnsi="Verdana" w:cs="Verdana"/>
                <w:sz w:val="19"/>
                <w:szCs w:val="19"/>
              </w:rPr>
              <w:t>Likelihood</w:t>
            </w:r>
          </w:p>
        </w:tc>
      </w:tr>
      <w:tr w:rsidR="00960F69" w:rsidTr="00960F6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rsidR="00960F69" w:rsidRDefault="007B0D8E">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960F69" w:rsidTr="00960F69">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rsidR="00960F69" w:rsidRDefault="007B0D8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960F69" w:rsidTr="00960F6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rsidR="00960F69" w:rsidRDefault="007B0D8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960F69" w:rsidTr="00960F69">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rsidR="00960F69" w:rsidRDefault="007B0D8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960F69" w:rsidTr="00960F6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rsidR="00960F69" w:rsidRDefault="007B0D8E">
            <w:pPr>
              <w:rPr>
                <w:rFonts w:ascii="Verdana" w:eastAsia="Verdana" w:hAnsi="Verdana" w:cs="Verdana"/>
                <w:sz w:val="19"/>
                <w:szCs w:val="19"/>
              </w:rPr>
            </w:pPr>
            <w:r>
              <w:rPr>
                <w:rFonts w:ascii="Verdana" w:eastAsia="Verdana" w:hAnsi="Verdana" w:cs="Verdana"/>
                <w:sz w:val="19"/>
                <w:szCs w:val="19"/>
              </w:rPr>
              <w:t>Impact</w:t>
            </w:r>
          </w:p>
        </w:tc>
      </w:tr>
      <w:tr w:rsidR="00960F69" w:rsidTr="00960F69">
        <w:trPr>
          <w:trHeight w:val="42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jc w:val="center"/>
              <w:rPr>
                <w:rFonts w:ascii="Verdana" w:eastAsia="Verdana" w:hAnsi="Verdana" w:cs="Verdana"/>
                <w:sz w:val="19"/>
                <w:szCs w:val="19"/>
              </w:rPr>
            </w:pPr>
            <w:r>
              <w:rPr>
                <w:rFonts w:ascii="Verdana" w:eastAsia="Verdana" w:hAnsi="Verdana" w:cs="Verdana"/>
                <w:sz w:val="19"/>
                <w:szCs w:val="19"/>
              </w:rPr>
              <w:lastRenderedPageBreak/>
              <w:t>Level</w:t>
            </w:r>
          </w:p>
        </w:tc>
        <w:tc>
          <w:tcPr>
            <w:tcW w:w="5931" w:type="dxa"/>
            <w:shd w:val="clear" w:color="auto" w:fill="DBE5F1"/>
          </w:tcPr>
          <w:p w:rsidR="00960F69" w:rsidRDefault="007B0D8E">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960F69" w:rsidTr="00960F69">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rsidR="00960F69" w:rsidRDefault="007B0D8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rsidR="00960F69" w:rsidRDefault="00960F6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960F69" w:rsidTr="00960F69">
        <w:trPr>
          <w:trHeight w:val="126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rsidR="00960F69" w:rsidRDefault="007B0D8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w:t>
            </w:r>
            <w:r>
              <w:rPr>
                <w:rFonts w:ascii="Verdana" w:eastAsia="Verdana" w:hAnsi="Verdana" w:cs="Verdana"/>
                <w:sz w:val="19"/>
                <w:szCs w:val="19"/>
              </w:rPr>
              <w:t>abilitation could last for several months.</w:t>
            </w:r>
          </w:p>
          <w:p w:rsidR="00960F69" w:rsidRDefault="00960F6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rsidR="00960F69" w:rsidRDefault="00960F6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960F69" w:rsidTr="00960F6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rsidR="00960F69" w:rsidRDefault="007B0D8E">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rsidR="00960F69" w:rsidRDefault="007B0D8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rsidR="00960F69" w:rsidRDefault="00960F69">
      <w:pPr>
        <w:rPr>
          <w:sz w:val="20"/>
          <w:szCs w:val="20"/>
        </w:rPr>
      </w:pPr>
      <w:bookmarkStart w:id="1" w:name="_gjdgxs" w:colFirst="0" w:colLast="0"/>
      <w:bookmarkEnd w:id="1"/>
    </w:p>
    <w:tbl>
      <w:tblPr>
        <w:tblStyle w:val="a3"/>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960F69">
        <w:trPr>
          <w:trHeight w:val="780"/>
        </w:trPr>
        <w:tc>
          <w:tcPr>
            <w:tcW w:w="7650" w:type="dxa"/>
            <w:gridSpan w:val="4"/>
            <w:vAlign w:val="center"/>
          </w:tcPr>
          <w:p w:rsidR="00960F69" w:rsidRDefault="007B0D8E">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7C94109A"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960F69">
        <w:trPr>
          <w:trHeight w:val="780"/>
        </w:trPr>
        <w:tc>
          <w:tcPr>
            <w:tcW w:w="1912" w:type="dxa"/>
            <w:vMerge w:val="restart"/>
            <w:vAlign w:val="center"/>
          </w:tcPr>
          <w:p w:rsidR="00960F69" w:rsidRDefault="007B0D8E">
            <w:pPr>
              <w:jc w:val="center"/>
              <w:rPr>
                <w:sz w:val="20"/>
                <w:szCs w:val="20"/>
              </w:rPr>
            </w:pPr>
            <w:r>
              <w:rPr>
                <w:sz w:val="20"/>
                <w:szCs w:val="20"/>
              </w:rPr>
              <w:t>Impact</w:t>
            </w:r>
            <w:r>
              <w:rPr>
                <w:noProof/>
              </w:rPr>
              <mc:AlternateContent>
                <mc:Choice Requires="wps">
                  <w:drawing>
                    <wp:anchor distT="0" distB="0" distL="114300" distR="114300" simplePos="0" relativeHeight="251659264" behindDoc="0" locked="0" layoutInCell="1" hidden="0" allowOverlap="1">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63BA5CEA"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rsidR="00960F69" w:rsidRDefault="007B0D8E">
            <w:pPr>
              <w:jc w:val="center"/>
              <w:rPr>
                <w:sz w:val="20"/>
                <w:szCs w:val="20"/>
              </w:rPr>
            </w:pPr>
            <w:r>
              <w:rPr>
                <w:sz w:val="20"/>
                <w:szCs w:val="20"/>
              </w:rPr>
              <w:t>3</w:t>
            </w:r>
          </w:p>
        </w:tc>
        <w:tc>
          <w:tcPr>
            <w:tcW w:w="1912" w:type="dxa"/>
            <w:shd w:val="clear" w:color="auto" w:fill="FF6600"/>
            <w:vAlign w:val="center"/>
          </w:tcPr>
          <w:p w:rsidR="00960F69" w:rsidRDefault="007B0D8E">
            <w:pPr>
              <w:jc w:val="center"/>
              <w:rPr>
                <w:sz w:val="20"/>
                <w:szCs w:val="20"/>
              </w:rPr>
            </w:pPr>
            <w:r>
              <w:rPr>
                <w:sz w:val="20"/>
                <w:szCs w:val="20"/>
              </w:rPr>
              <w:t>6</w:t>
            </w:r>
          </w:p>
        </w:tc>
        <w:tc>
          <w:tcPr>
            <w:tcW w:w="1914" w:type="dxa"/>
            <w:shd w:val="clear" w:color="auto" w:fill="FF0000"/>
            <w:vAlign w:val="center"/>
          </w:tcPr>
          <w:p w:rsidR="00960F69" w:rsidRDefault="007B0D8E">
            <w:pPr>
              <w:jc w:val="center"/>
              <w:rPr>
                <w:sz w:val="20"/>
                <w:szCs w:val="20"/>
              </w:rPr>
            </w:pPr>
            <w:r>
              <w:rPr>
                <w:sz w:val="20"/>
                <w:szCs w:val="20"/>
              </w:rPr>
              <w:t>9</w:t>
            </w:r>
          </w:p>
        </w:tc>
      </w:tr>
      <w:tr w:rsidR="00960F69">
        <w:trPr>
          <w:trHeight w:val="780"/>
        </w:trPr>
        <w:tc>
          <w:tcPr>
            <w:tcW w:w="1912" w:type="dxa"/>
            <w:vMerge/>
            <w:vAlign w:val="center"/>
          </w:tcPr>
          <w:p w:rsidR="00960F69" w:rsidRDefault="00960F69">
            <w:pPr>
              <w:rPr>
                <w:sz w:val="20"/>
                <w:szCs w:val="20"/>
              </w:rPr>
            </w:pPr>
          </w:p>
        </w:tc>
        <w:tc>
          <w:tcPr>
            <w:tcW w:w="1912" w:type="dxa"/>
            <w:shd w:val="clear" w:color="auto" w:fill="92D050"/>
            <w:vAlign w:val="center"/>
          </w:tcPr>
          <w:p w:rsidR="00960F69" w:rsidRDefault="007B0D8E">
            <w:pPr>
              <w:jc w:val="center"/>
              <w:rPr>
                <w:sz w:val="20"/>
                <w:szCs w:val="20"/>
              </w:rPr>
            </w:pPr>
            <w:r>
              <w:rPr>
                <w:sz w:val="20"/>
                <w:szCs w:val="20"/>
              </w:rPr>
              <w:t>2</w:t>
            </w:r>
          </w:p>
        </w:tc>
        <w:tc>
          <w:tcPr>
            <w:tcW w:w="1912" w:type="dxa"/>
            <w:shd w:val="clear" w:color="auto" w:fill="FFFF00"/>
            <w:vAlign w:val="center"/>
          </w:tcPr>
          <w:p w:rsidR="00960F69" w:rsidRDefault="007B0D8E">
            <w:pPr>
              <w:jc w:val="center"/>
              <w:rPr>
                <w:sz w:val="20"/>
                <w:szCs w:val="20"/>
              </w:rPr>
            </w:pPr>
            <w:r>
              <w:rPr>
                <w:sz w:val="20"/>
                <w:szCs w:val="20"/>
              </w:rPr>
              <w:t>4</w:t>
            </w:r>
          </w:p>
        </w:tc>
        <w:tc>
          <w:tcPr>
            <w:tcW w:w="1914" w:type="dxa"/>
            <w:shd w:val="clear" w:color="auto" w:fill="FF6600"/>
            <w:vAlign w:val="center"/>
          </w:tcPr>
          <w:p w:rsidR="00960F69" w:rsidRDefault="007B0D8E">
            <w:pPr>
              <w:jc w:val="center"/>
              <w:rPr>
                <w:sz w:val="20"/>
                <w:szCs w:val="20"/>
              </w:rPr>
            </w:pPr>
            <w:r>
              <w:rPr>
                <w:sz w:val="20"/>
                <w:szCs w:val="20"/>
              </w:rPr>
              <w:t>6</w:t>
            </w:r>
          </w:p>
        </w:tc>
      </w:tr>
      <w:tr w:rsidR="00960F69">
        <w:trPr>
          <w:trHeight w:val="780"/>
        </w:trPr>
        <w:tc>
          <w:tcPr>
            <w:tcW w:w="1912" w:type="dxa"/>
            <w:vMerge/>
            <w:vAlign w:val="center"/>
          </w:tcPr>
          <w:p w:rsidR="00960F69" w:rsidRDefault="00960F69">
            <w:pPr>
              <w:rPr>
                <w:sz w:val="20"/>
                <w:szCs w:val="20"/>
              </w:rPr>
            </w:pPr>
          </w:p>
        </w:tc>
        <w:tc>
          <w:tcPr>
            <w:tcW w:w="1912" w:type="dxa"/>
            <w:shd w:val="clear" w:color="auto" w:fill="00B050"/>
            <w:vAlign w:val="center"/>
          </w:tcPr>
          <w:p w:rsidR="00960F69" w:rsidRDefault="007B0D8E">
            <w:pPr>
              <w:jc w:val="center"/>
              <w:rPr>
                <w:sz w:val="20"/>
                <w:szCs w:val="20"/>
              </w:rPr>
            </w:pPr>
            <w:r>
              <w:rPr>
                <w:sz w:val="20"/>
                <w:szCs w:val="20"/>
              </w:rPr>
              <w:t>1</w:t>
            </w:r>
          </w:p>
        </w:tc>
        <w:tc>
          <w:tcPr>
            <w:tcW w:w="1912" w:type="dxa"/>
            <w:shd w:val="clear" w:color="auto" w:fill="92D050"/>
            <w:vAlign w:val="center"/>
          </w:tcPr>
          <w:p w:rsidR="00960F69" w:rsidRDefault="007B0D8E">
            <w:pPr>
              <w:jc w:val="center"/>
              <w:rPr>
                <w:sz w:val="20"/>
                <w:szCs w:val="20"/>
              </w:rPr>
            </w:pPr>
            <w:r>
              <w:rPr>
                <w:sz w:val="20"/>
                <w:szCs w:val="20"/>
              </w:rPr>
              <w:t>2</w:t>
            </w:r>
          </w:p>
        </w:tc>
        <w:tc>
          <w:tcPr>
            <w:tcW w:w="1914" w:type="dxa"/>
            <w:shd w:val="clear" w:color="auto" w:fill="FFFF00"/>
            <w:vAlign w:val="center"/>
          </w:tcPr>
          <w:p w:rsidR="00960F69" w:rsidRDefault="007B0D8E">
            <w:pPr>
              <w:jc w:val="center"/>
              <w:rPr>
                <w:sz w:val="20"/>
                <w:szCs w:val="20"/>
              </w:rPr>
            </w:pPr>
            <w:r>
              <w:rPr>
                <w:sz w:val="20"/>
                <w:szCs w:val="20"/>
              </w:rPr>
              <w:t>3</w:t>
            </w:r>
          </w:p>
        </w:tc>
      </w:tr>
    </w:tbl>
    <w:p w:rsidR="00960F69" w:rsidRDefault="00960F69">
      <w:pPr>
        <w:rPr>
          <w:sz w:val="20"/>
          <w:szCs w:val="20"/>
        </w:rPr>
      </w:pPr>
    </w:p>
    <w:p w:rsidR="00960F69" w:rsidRDefault="00960F69">
      <w:pPr>
        <w:rPr>
          <w:sz w:val="20"/>
          <w:szCs w:val="20"/>
        </w:rPr>
      </w:pPr>
    </w:p>
    <w:p w:rsidR="00960F69" w:rsidRDefault="00960F69">
      <w:pPr>
        <w:rPr>
          <w:sz w:val="20"/>
          <w:szCs w:val="20"/>
        </w:rPr>
      </w:pPr>
    </w:p>
    <w:p w:rsidR="00960F69" w:rsidRDefault="00960F69">
      <w:pPr>
        <w:spacing w:after="0" w:line="240" w:lineRule="auto"/>
        <w:rPr>
          <w:rFonts w:ascii="Verdana" w:eastAsia="Verdana" w:hAnsi="Verdana" w:cs="Verdana"/>
          <w:sz w:val="19"/>
          <w:szCs w:val="19"/>
        </w:rPr>
      </w:pPr>
    </w:p>
    <w:p w:rsidR="00960F69" w:rsidRDefault="00960F69">
      <w:pPr>
        <w:rPr>
          <w:sz w:val="20"/>
          <w:szCs w:val="20"/>
        </w:rPr>
      </w:pPr>
    </w:p>
    <w:sectPr w:rsidR="00960F69">
      <w:headerReference w:type="default" r:id="rId8"/>
      <w:footerReference w:type="default" r:id="rId9"/>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8E" w:rsidRDefault="007B0D8E">
      <w:pPr>
        <w:spacing w:after="0" w:line="240" w:lineRule="auto"/>
      </w:pPr>
      <w:r>
        <w:separator/>
      </w:r>
    </w:p>
  </w:endnote>
  <w:endnote w:type="continuationSeparator" w:id="0">
    <w:p w:rsidR="007B0D8E" w:rsidRDefault="007B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69" w:rsidRDefault="007B0D8E">
    <w:pPr>
      <w:pBdr>
        <w:top w:val="single" w:sz="4" w:space="1" w:color="D9D9D9"/>
      </w:pBdr>
      <w:tabs>
        <w:tab w:val="center" w:pos="4513"/>
        <w:tab w:val="right" w:pos="9026"/>
      </w:tabs>
      <w:spacing w:after="0" w:line="240" w:lineRule="auto"/>
      <w:jc w:val="right"/>
    </w:pPr>
    <w:r>
      <w:fldChar w:fldCharType="begin"/>
    </w:r>
    <w:r>
      <w:instrText>PAGE</w:instrText>
    </w:r>
    <w:r w:rsidR="00F238BD">
      <w:fldChar w:fldCharType="separate"/>
    </w:r>
    <w:r w:rsidR="00F238BD">
      <w:rPr>
        <w:noProof/>
      </w:rPr>
      <w:t>2</w:t>
    </w:r>
    <w:r>
      <w:fldChar w:fldCharType="end"/>
    </w:r>
    <w:r>
      <w:t xml:space="preserve"> | </w:t>
    </w:r>
    <w:r>
      <w:rPr>
        <w:color w:val="808080"/>
      </w:rPr>
      <w:t>Page</w:t>
    </w:r>
  </w:p>
  <w:p w:rsidR="00960F69" w:rsidRDefault="00960F69">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8E" w:rsidRDefault="007B0D8E">
      <w:pPr>
        <w:spacing w:after="0" w:line="240" w:lineRule="auto"/>
      </w:pPr>
      <w:r>
        <w:separator/>
      </w:r>
    </w:p>
  </w:footnote>
  <w:footnote w:type="continuationSeparator" w:id="0">
    <w:p w:rsidR="007B0D8E" w:rsidRDefault="007B0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69" w:rsidRDefault="007B0D8E">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rsidR="00960F69" w:rsidRDefault="00960F69">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7E1A"/>
    <w:multiLevelType w:val="multilevel"/>
    <w:tmpl w:val="04CEAD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69"/>
    <w:rsid w:val="007B0D8E"/>
    <w:rsid w:val="00960F69"/>
    <w:rsid w:val="00F2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2C59E-F267-492C-8882-1F931D2C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faq.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Wilding</dc:creator>
  <cp:lastModifiedBy>Nicholas Wilding</cp:lastModifiedBy>
  <cp:revision>2</cp:revision>
  <dcterms:created xsi:type="dcterms:W3CDTF">2019-07-26T17:15:00Z</dcterms:created>
  <dcterms:modified xsi:type="dcterms:W3CDTF">2019-07-26T17:15:00Z</dcterms:modified>
</cp:coreProperties>
</file>