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237297F" w:rsidR="007D5F9D" w:rsidRDefault="7282EC26" w:rsidP="00A26B8F">
            <w:r w:rsidRPr="7282EC26">
              <w:rPr>
                <w:sz w:val="32"/>
                <w:szCs w:val="32"/>
              </w:rPr>
              <w:t xml:space="preserve">Work/Activity: </w:t>
            </w:r>
            <w:r w:rsidR="00A25C65">
              <w:rPr>
                <w:sz w:val="32"/>
                <w:szCs w:val="32"/>
              </w:rPr>
              <w:t>Committee Coaching and Rescue Training Session</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6BB8D2BE" w14:textId="40BF3A10" w:rsidR="009C132E" w:rsidRDefault="009C132E" w:rsidP="00A25C65">
            <w:pPr>
              <w:spacing w:after="200" w:line="276" w:lineRule="auto"/>
              <w:rPr>
                <w:rFonts w:ascii="Calibri" w:eastAsia="Calibri" w:hAnsi="Calibri" w:cs="Calibri"/>
                <w:b w:val="0"/>
                <w:bCs w:val="0"/>
              </w:rPr>
            </w:pPr>
            <w:r>
              <w:rPr>
                <w:rFonts w:ascii="Calibri" w:eastAsia="Calibri" w:hAnsi="Calibri" w:cs="Calibri"/>
              </w:rPr>
              <w:t xml:space="preserve">This </w:t>
            </w:r>
            <w:r w:rsidR="00A25C65">
              <w:rPr>
                <w:rFonts w:ascii="Calibri" w:eastAsia="Calibri" w:hAnsi="Calibri" w:cs="Calibri"/>
              </w:rPr>
              <w:t>Risk Assessment covers one-off committee training to train the new committee members to be able to adequately fulfil safety critical tasks and coach effectively in a covid secure environment. This RA should be read as a session specific addendum to the generic risk assessments for the environments the coaching is occurring in as well as the covid addendums. In the event of a conflict this risk assessment should take precedence over all others.</w:t>
            </w:r>
          </w:p>
          <w:p w14:paraId="511DE80E" w14:textId="43B2EA82" w:rsidR="00A25C65" w:rsidRDefault="00A25C65" w:rsidP="00A25C65">
            <w:pPr>
              <w:spacing w:after="200" w:line="276" w:lineRule="auto"/>
              <w:rPr>
                <w:rFonts w:ascii="Calibri" w:eastAsia="Calibri" w:hAnsi="Calibri" w:cs="Calibri"/>
                <w:b w:val="0"/>
                <w:bCs w:val="0"/>
              </w:rPr>
            </w:pPr>
            <w:r>
              <w:rPr>
                <w:rFonts w:ascii="Calibri" w:eastAsia="Calibri" w:hAnsi="Calibri" w:cs="Calibri"/>
              </w:rPr>
              <w:t xml:space="preserve">Within normal sessions, risk control is generally centred around maintaining social distancing between all participants unless in an emergency scenario. It is critical for safety that new committee members are trained to respond to these emergency situations effectively, despite the fact this may necessitate closer contact than is allowable under the standard operating procedures. As this session is a one off and limited to members of the coaching team, we feel we can manage it effectively in line with BC guidance for running safety &amp; rescue training by ensuring wherever social distancing isn’t possible activities are undertaken solely within existing household/support bubbles as defined by the govt.  </w:t>
            </w:r>
          </w:p>
          <w:p w14:paraId="332B6FD9" w14:textId="5373AB81" w:rsidR="00A25C65" w:rsidRDefault="00A25C65" w:rsidP="00A25C65">
            <w:pPr>
              <w:spacing w:after="200" w:line="276" w:lineRule="auto"/>
              <w:rPr>
                <w:rFonts w:ascii="Calibri" w:eastAsia="Calibri" w:hAnsi="Calibri" w:cs="Calibri"/>
                <w:b w:val="0"/>
                <w:bCs w:val="0"/>
              </w:rPr>
            </w:pPr>
            <w:r>
              <w:rPr>
                <w:rFonts w:ascii="Calibri" w:eastAsia="Calibri" w:hAnsi="Calibri" w:cs="Calibri"/>
              </w:rPr>
              <w:t xml:space="preserve">The requirement for specific ratios for this session is removed on the basis that everyone taking part should be competent to look after themselves and others as peers as a pre-requisite to do the training.  </w:t>
            </w:r>
          </w:p>
          <w:p w14:paraId="41D1E85E" w14:textId="77777777" w:rsidR="00A25C65" w:rsidRDefault="00A25C65" w:rsidP="00A25C65">
            <w:pPr>
              <w:spacing w:after="200" w:line="276" w:lineRule="auto"/>
              <w:rPr>
                <w:rFonts w:ascii="Calibri" w:eastAsia="Calibri" w:hAnsi="Calibri" w:cs="Calibri"/>
                <w:b w:val="0"/>
                <w:bCs w:val="0"/>
              </w:rPr>
            </w:pPr>
            <w:r>
              <w:rPr>
                <w:rFonts w:ascii="Calibri" w:eastAsia="Calibri" w:hAnsi="Calibri" w:cs="Calibri"/>
              </w:rPr>
              <w:t>Bubbles to be:</w:t>
            </w:r>
          </w:p>
          <w:p w14:paraId="0DF06935" w14:textId="178747B6" w:rsidR="00A25C65" w:rsidRDefault="00A25C65" w:rsidP="00A25C65">
            <w:pPr>
              <w:pStyle w:val="ListParagraph"/>
              <w:numPr>
                <w:ilvl w:val="0"/>
                <w:numId w:val="26"/>
              </w:numPr>
              <w:rPr>
                <w:rFonts w:ascii="Calibri" w:eastAsia="Calibri" w:hAnsi="Calibri" w:cs="Calibri"/>
              </w:rPr>
            </w:pPr>
            <w:r>
              <w:rPr>
                <w:rFonts w:ascii="Calibri" w:eastAsia="Calibri" w:hAnsi="Calibri" w:cs="Calibri"/>
                <w:b w:val="0"/>
                <w:bCs w:val="0"/>
              </w:rPr>
              <w:t>Russell Place Bubble: Sam, Anna, Niall</w:t>
            </w:r>
          </w:p>
          <w:p w14:paraId="4F428BE1" w14:textId="0DB9778C" w:rsidR="00A25C65" w:rsidRDefault="00A25C65" w:rsidP="00A25C65">
            <w:pPr>
              <w:pStyle w:val="ListParagraph"/>
              <w:numPr>
                <w:ilvl w:val="0"/>
                <w:numId w:val="26"/>
              </w:numPr>
              <w:rPr>
                <w:rFonts w:ascii="Calibri" w:eastAsia="Calibri" w:hAnsi="Calibri" w:cs="Calibri"/>
              </w:rPr>
            </w:pPr>
            <w:r>
              <w:rPr>
                <w:rFonts w:ascii="Calibri" w:eastAsia="Calibri" w:hAnsi="Calibri" w:cs="Calibri"/>
                <w:b w:val="0"/>
                <w:bCs w:val="0"/>
              </w:rPr>
              <w:t>Rich</w:t>
            </w:r>
            <w:r w:rsidR="00B3601E">
              <w:rPr>
                <w:rFonts w:ascii="Calibri" w:eastAsia="Calibri" w:hAnsi="Calibri" w:cs="Calibri"/>
                <w:b w:val="0"/>
                <w:bCs w:val="0"/>
              </w:rPr>
              <w:t>mond Gardens</w:t>
            </w:r>
            <w:r>
              <w:rPr>
                <w:rFonts w:ascii="Calibri" w:eastAsia="Calibri" w:hAnsi="Calibri" w:cs="Calibri"/>
                <w:b w:val="0"/>
                <w:bCs w:val="0"/>
              </w:rPr>
              <w:t xml:space="preserve"> Bubble: Euan, Skipper</w:t>
            </w:r>
          </w:p>
          <w:p w14:paraId="05430485" w14:textId="3085A690" w:rsidR="00A25C65" w:rsidRDefault="00A25C65" w:rsidP="00A25C65">
            <w:pPr>
              <w:pStyle w:val="ListParagraph"/>
              <w:numPr>
                <w:ilvl w:val="0"/>
                <w:numId w:val="26"/>
              </w:numPr>
              <w:rPr>
                <w:rFonts w:ascii="Calibri" w:eastAsia="Calibri" w:hAnsi="Calibri" w:cs="Calibri"/>
              </w:rPr>
            </w:pPr>
            <w:r>
              <w:rPr>
                <w:rFonts w:ascii="Calibri" w:eastAsia="Calibri" w:hAnsi="Calibri" w:cs="Calibri"/>
                <w:b w:val="0"/>
                <w:bCs w:val="0"/>
              </w:rPr>
              <w:t>Committee girls house bubble: Lucy, Hannah Go, Amy B, Hannah Gi</w:t>
            </w:r>
          </w:p>
          <w:p w14:paraId="750479FA" w14:textId="77777777" w:rsidR="00A25C65" w:rsidRDefault="00A25C65" w:rsidP="00A25C65">
            <w:pPr>
              <w:pStyle w:val="ListParagraph"/>
              <w:numPr>
                <w:ilvl w:val="0"/>
                <w:numId w:val="26"/>
              </w:numPr>
              <w:rPr>
                <w:rFonts w:ascii="Calibri" w:eastAsia="Calibri" w:hAnsi="Calibri" w:cs="Calibri"/>
              </w:rPr>
            </w:pPr>
            <w:r>
              <w:rPr>
                <w:rFonts w:ascii="Calibri" w:eastAsia="Calibri" w:hAnsi="Calibri" w:cs="Calibri"/>
                <w:b w:val="0"/>
                <w:bCs w:val="0"/>
              </w:rPr>
              <w:t>Committee mostly boys house bubble: Andrew, Max, Kate</w:t>
            </w:r>
          </w:p>
          <w:p w14:paraId="6080E88B" w14:textId="2578874C" w:rsidR="00A25C65" w:rsidRPr="00A25C65" w:rsidRDefault="00A25C65" w:rsidP="00A25C65">
            <w:pPr>
              <w:pStyle w:val="ListParagraph"/>
              <w:numPr>
                <w:ilvl w:val="0"/>
                <w:numId w:val="26"/>
              </w:numPr>
              <w:rPr>
                <w:rFonts w:ascii="Calibri" w:eastAsia="Calibri" w:hAnsi="Calibri" w:cs="Calibri"/>
              </w:rPr>
            </w:pPr>
            <w:r>
              <w:rPr>
                <w:rFonts w:ascii="Calibri" w:eastAsia="Calibri" w:hAnsi="Calibri" w:cs="Calibri"/>
                <w:b w:val="0"/>
                <w:bCs w:val="0"/>
              </w:rPr>
              <w:t>Alex W, George, Callum and Josh should bring a housemate or will be unable to participate in close contact so should not be counted in ratios for the foreseeable future</w:t>
            </w: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7B9550FA" w:rsidR="00101E03" w:rsidRPr="00EB0C98" w:rsidRDefault="7282EC26" w:rsidP="7282EC26">
            <w:pPr>
              <w:rPr>
                <w:b w:val="0"/>
                <w:bCs w:val="0"/>
                <w:color w:val="FFFFFF" w:themeColor="background1"/>
              </w:rPr>
            </w:pPr>
            <w:r w:rsidRPr="7282EC26">
              <w:rPr>
                <w:b w:val="0"/>
                <w:bCs w:val="0"/>
                <w:color w:val="FFFFFF" w:themeColor="background1"/>
              </w:rPr>
              <w:t>Group: Southampton University Canoe Club</w:t>
            </w:r>
            <w:r w:rsidR="00AF0B60">
              <w:rPr>
                <w:b w:val="0"/>
                <w:bCs w:val="0"/>
                <w:color w:val="FFFFFF" w:themeColor="background1"/>
              </w:rPr>
              <w:t xml:space="preserve"> </w:t>
            </w:r>
            <w:r w:rsidR="00A25C65">
              <w:rPr>
                <w:b w:val="0"/>
                <w:bCs w:val="0"/>
                <w:color w:val="FFFFFF" w:themeColor="background1"/>
              </w:rPr>
              <w:t>20</w:t>
            </w:r>
            <w:r w:rsidR="00AF0B60">
              <w:rPr>
                <w:b w:val="0"/>
                <w:bCs w:val="0"/>
                <w:color w:val="FFFFFF" w:themeColor="background1"/>
              </w:rPr>
              <w:t>/2</w:t>
            </w:r>
            <w:r w:rsidR="00A25C65">
              <w:rPr>
                <w:b w:val="0"/>
                <w:bCs w:val="0"/>
                <w:color w:val="FFFFFF" w:themeColor="background1"/>
              </w:rPr>
              <w:t>1</w:t>
            </w:r>
            <w:r w:rsidR="00AF0B60">
              <w:rPr>
                <w:b w:val="0"/>
                <w:bCs w:val="0"/>
                <w:color w:val="FFFFFF" w:themeColor="background1"/>
              </w:rPr>
              <w:t xml:space="preserve">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B6E8B99" w14:textId="1F849D1A" w:rsidR="00AF0B60" w:rsidRPr="00EB0C98" w:rsidRDefault="00AF0B60"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Sam Tweedle (</w:t>
            </w:r>
            <w:r w:rsidR="00A25C65">
              <w:rPr>
                <w:color w:val="FFFFFF" w:themeColor="background1"/>
              </w:rPr>
              <w:t>Session Lead</w:t>
            </w:r>
            <w:r>
              <w:rPr>
                <w:color w:val="FFFFFF" w:themeColor="background1"/>
              </w:rPr>
              <w:t>)</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w:t>
            </w:r>
            <w:r w:rsidRPr="7282EC26">
              <w:rPr>
                <w:sz w:val="20"/>
                <w:szCs w:val="20"/>
              </w:rPr>
              <w:lastRenderedPageBreak/>
              <w:t>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C4A8B50" w14:textId="77777777" w:rsidR="00101E03" w:rsidRPr="00A25C65" w:rsidRDefault="00CB7325"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26E76C03" w:rsidR="00A25C65" w:rsidRPr="00D845C6" w:rsidRDefault="00CB7325" w:rsidP="00D845C6">
            <w:pPr>
              <w:pStyle w:val="ListParagraph"/>
              <w:numPr>
                <w:ilvl w:val="0"/>
                <w:numId w:val="1"/>
              </w:numPr>
            </w:pPr>
            <w:hyperlink r:id="rId10" w:history="1">
              <w:r w:rsidR="00A25C65">
                <w:rPr>
                  <w:rStyle w:val="Hyperlink"/>
                </w:rPr>
                <w:t>https://www.britishcanoeing.org.uk/news/2020/covid-19-update-latest-guidance-on-british-canoeing-qualifications-and-awards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w:t>
            </w:r>
            <w:r>
              <w:lastRenderedPageBreak/>
              <w:t>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148F8E6A" w:rsidR="30B5D7B1" w:rsidRDefault="00A25C65">
            <w:pPr>
              <w:cnfStyle w:val="000000100000" w:firstRow="0" w:lastRow="0" w:firstColumn="0" w:lastColumn="0" w:oddVBand="0" w:evenVBand="0" w:oddHBand="1" w:evenHBand="0" w:firstRowFirstColumn="0" w:firstRowLastColumn="0" w:lastRowFirstColumn="0" w:lastRowLastColumn="0"/>
            </w:pPr>
            <w:r>
              <w:t>Session lead- Sam Tweedle</w:t>
            </w:r>
          </w:p>
          <w:p w14:paraId="6BE5F5C2" w14:textId="1FAAD0E9" w:rsidR="30B5D7B1" w:rsidRDefault="00A25C65" w:rsidP="30B5D7B1">
            <w:pPr>
              <w:cnfStyle w:val="000000100000" w:firstRow="0" w:lastRow="0" w:firstColumn="0" w:lastColumn="0" w:oddVBand="0" w:evenVBand="0" w:oddHBand="1" w:evenHBand="0" w:firstRowFirstColumn="0" w:firstRowLastColumn="0" w:lastRowFirstColumn="0" w:lastRowLastColumn="0"/>
            </w:pPr>
            <w:r>
              <w:t>Running the session in a safe and covid secure way</w:t>
            </w:r>
          </w:p>
          <w:p w14:paraId="63111C44" w14:textId="227639B1" w:rsidR="00A25C65" w:rsidRDefault="00A25C65" w:rsidP="30B5D7B1">
            <w:pPr>
              <w:cnfStyle w:val="000000100000" w:firstRow="0" w:lastRow="0" w:firstColumn="0" w:lastColumn="0" w:oddVBand="0" w:evenVBand="0" w:oddHBand="1" w:evenHBand="0" w:firstRowFirstColumn="0" w:firstRowLastColumn="0" w:lastRowFirstColumn="0" w:lastRowLastColumn="0"/>
            </w:pPr>
          </w:p>
          <w:p w14:paraId="3B62F94E" w14:textId="2D0D1DC4" w:rsidR="00A25C65" w:rsidRDefault="00A25C65" w:rsidP="30B5D7B1">
            <w:pPr>
              <w:cnfStyle w:val="000000100000" w:firstRow="0" w:lastRow="0" w:firstColumn="0" w:lastColumn="0" w:oddVBand="0" w:evenVBand="0" w:oddHBand="1" w:evenHBand="0" w:firstRowFirstColumn="0" w:firstRowLastColumn="0" w:lastRowFirstColumn="0" w:lastRowLastColumn="0"/>
            </w:pPr>
            <w:r>
              <w:t>All trainee coaches present</w:t>
            </w:r>
          </w:p>
          <w:p w14:paraId="03BCCB4C" w14:textId="4462EC4A" w:rsidR="00A25C65" w:rsidRDefault="00A25C65" w:rsidP="30B5D7B1">
            <w:pPr>
              <w:cnfStyle w:val="000000100000" w:firstRow="0" w:lastRow="0" w:firstColumn="0" w:lastColumn="0" w:oddVBand="0" w:evenVBand="0" w:oddHBand="1" w:evenHBand="0" w:firstRowFirstColumn="0" w:firstRowLastColumn="0" w:lastRowFirstColumn="0" w:lastRowLastColumn="0"/>
            </w:pPr>
            <w:r>
              <w:t>Complying with the RAs</w:t>
            </w: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27815D42" w14:textId="771D3F33" w:rsidR="4E7014AB" w:rsidRPr="00080D6E" w:rsidRDefault="00A25C65" w:rsidP="4E7014AB">
            <w:pPr>
              <w:cnfStyle w:val="000000100000" w:firstRow="0" w:lastRow="0" w:firstColumn="0" w:lastColumn="0" w:oddVBand="0" w:evenVBand="0" w:oddHBand="1" w:evenHBand="0" w:firstRowFirstColumn="0" w:firstRowLastColumn="0" w:lastRowFirstColumn="0" w:lastRowLastColumn="0"/>
            </w:pPr>
            <w:r>
              <w:t>L2 Coach with additional coach mentoring training</w:t>
            </w: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42D38DEC" w:rsidR="007508BE" w:rsidRDefault="00080D6E" w:rsidP="00B706D9">
            <w:r>
              <w:rPr>
                <w:b w:val="0"/>
                <w:bCs w:val="0"/>
              </w:rPr>
              <w:t xml:space="preserve">Main </w:t>
            </w:r>
            <w:r w:rsidR="00B16361">
              <w:rPr>
                <w:b w:val="0"/>
                <w:bCs w:val="0"/>
              </w:rPr>
              <w:t>Flat-Water River</w:t>
            </w:r>
            <w:r>
              <w:rPr>
                <w:b w:val="0"/>
                <w:bCs w:val="0"/>
              </w:rPr>
              <w:t xml:space="preserve"> Session RA</w:t>
            </w:r>
          </w:p>
          <w:p w14:paraId="223DB01C" w14:textId="1BE212EC" w:rsidR="00A25C65" w:rsidRDefault="00A25C65" w:rsidP="00B706D9">
            <w:r>
              <w:rPr>
                <w:b w:val="0"/>
                <w:bCs w:val="0"/>
              </w:rPr>
              <w:t>Main Pool session RA</w:t>
            </w:r>
          </w:p>
          <w:p w14:paraId="4AFCA2C7" w14:textId="5ED05748" w:rsidR="00A25C65" w:rsidRDefault="00A25C65" w:rsidP="00B706D9">
            <w:r>
              <w:rPr>
                <w:b w:val="0"/>
                <w:bCs w:val="0"/>
              </w:rPr>
              <w:t>Main Weir Session RA</w:t>
            </w:r>
          </w:p>
          <w:p w14:paraId="79B154DF" w14:textId="5831FF48" w:rsidR="00A25C65" w:rsidRPr="00A25C65" w:rsidRDefault="00A25C65" w:rsidP="00B706D9">
            <w:pPr>
              <w:rPr>
                <w:b w:val="0"/>
                <w:bCs w:val="0"/>
              </w:rPr>
            </w:pPr>
            <w:r>
              <w:rPr>
                <w:b w:val="0"/>
                <w:bCs w:val="0"/>
              </w:rPr>
              <w:t>Weir covid addendum</w:t>
            </w:r>
          </w:p>
          <w:p w14:paraId="47C8B7CE" w14:textId="4FDB027E" w:rsidR="00A25C65" w:rsidRDefault="00A25C65" w:rsidP="00B706D9">
            <w:r>
              <w:rPr>
                <w:b w:val="0"/>
                <w:bCs w:val="0"/>
              </w:rPr>
              <w:t>Flat water covid addendum</w:t>
            </w:r>
          </w:p>
          <w:p w14:paraId="1FFB8234" w14:textId="0DF04F55" w:rsidR="00A25C65" w:rsidRPr="00A25C65" w:rsidRDefault="00A25C65" w:rsidP="00B706D9">
            <w:pPr>
              <w:rPr>
                <w:b w:val="0"/>
                <w:bCs w:val="0"/>
              </w:rPr>
            </w:pPr>
            <w:r>
              <w:rPr>
                <w:b w:val="0"/>
                <w:bCs w:val="0"/>
              </w:rPr>
              <w:t>Pool covid addendum</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1277"/>
        <w:gridCol w:w="850"/>
        <w:gridCol w:w="1261"/>
        <w:gridCol w:w="2496"/>
        <w:gridCol w:w="921"/>
        <w:gridCol w:w="850"/>
        <w:gridCol w:w="568"/>
        <w:gridCol w:w="2409"/>
        <w:gridCol w:w="1854"/>
        <w:gridCol w:w="1068"/>
        <w:gridCol w:w="937"/>
        <w:gridCol w:w="638"/>
        <w:gridCol w:w="911"/>
      </w:tblGrid>
      <w:tr w:rsidR="0066235F" w:rsidRPr="00313265" w14:paraId="3395B550" w14:textId="77777777" w:rsidTr="00A25C65">
        <w:trPr>
          <w:trHeight w:val="520"/>
        </w:trPr>
        <w:tc>
          <w:tcPr>
            <w:tcW w:w="398"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265"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A25C65">
        <w:trPr>
          <w:trHeight w:val="375"/>
        </w:trPr>
        <w:tc>
          <w:tcPr>
            <w:tcW w:w="398"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65"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A63980" w:rsidRPr="00313265" w14:paraId="53E4663B"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713EAC92" w14:textId="1806DC43" w:rsidR="00A63980" w:rsidRPr="00937A97" w:rsidRDefault="00A25C6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Practise of all contact rescues</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C6F4E1C" w14:textId="4F946660"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A63980"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9B92ED1" w14:textId="752CA3A3" w:rsidR="00A25C65" w:rsidRPr="00A25C65" w:rsidRDefault="00A25C65" w:rsidP="00A25C65">
            <w:pPr>
              <w:pStyle w:val="ListParagraph"/>
              <w:numPr>
                <w:ilvl w:val="0"/>
                <w:numId w:val="1"/>
              </w:numPr>
              <w:rPr>
                <w:rFonts w:cstheme="minorHAnsi"/>
                <w:sz w:val="16"/>
                <w:szCs w:val="16"/>
              </w:rPr>
            </w:pPr>
            <w:r>
              <w:rPr>
                <w:rFonts w:cstheme="minorHAnsi"/>
                <w:sz w:val="16"/>
                <w:szCs w:val="16"/>
              </w:rPr>
              <w:t>Partners to be from the same household/support bubble to eliminate the need for social distancing entirely.</w:t>
            </w:r>
          </w:p>
          <w:p w14:paraId="6468037C" w14:textId="106E4B4D" w:rsidR="00A25C65" w:rsidRDefault="00A25C65" w:rsidP="00080D6E">
            <w:pPr>
              <w:pStyle w:val="ListParagraph"/>
              <w:numPr>
                <w:ilvl w:val="0"/>
                <w:numId w:val="1"/>
              </w:numPr>
              <w:rPr>
                <w:rFonts w:cstheme="minorHAnsi"/>
                <w:sz w:val="16"/>
                <w:szCs w:val="16"/>
              </w:rPr>
            </w:pPr>
            <w:r>
              <w:rPr>
                <w:rFonts w:cstheme="minorHAnsi"/>
                <w:sz w:val="16"/>
                <w:szCs w:val="16"/>
              </w:rPr>
              <w:t xml:space="preserve">Where variations of methods exist, participants to be taught the lowest risk methods. </w:t>
            </w:r>
          </w:p>
          <w:p w14:paraId="761751FD" w14:textId="2FC19450" w:rsidR="00A25C65" w:rsidRDefault="00A25C65" w:rsidP="00080D6E">
            <w:pPr>
              <w:pStyle w:val="ListParagraph"/>
              <w:numPr>
                <w:ilvl w:val="0"/>
                <w:numId w:val="1"/>
              </w:numPr>
              <w:rPr>
                <w:rFonts w:cstheme="minorHAnsi"/>
                <w:sz w:val="16"/>
                <w:szCs w:val="16"/>
              </w:rPr>
            </w:pPr>
            <w:r>
              <w:rPr>
                <w:rFonts w:cstheme="minorHAnsi"/>
                <w:sz w:val="16"/>
                <w:szCs w:val="16"/>
              </w:rPr>
              <w:t xml:space="preserve">Where a rescue can be practiced with an empty boat it will be for </w:t>
            </w:r>
            <w:r w:rsidR="00B3601E">
              <w:rPr>
                <w:rFonts w:cstheme="minorHAnsi"/>
                <w:sz w:val="16"/>
                <w:szCs w:val="16"/>
              </w:rPr>
              <w:t>non-bubbled</w:t>
            </w:r>
            <w:r>
              <w:rPr>
                <w:rFonts w:cstheme="minorHAnsi"/>
                <w:sz w:val="16"/>
                <w:szCs w:val="16"/>
              </w:rPr>
              <w:t xml:space="preserve"> participants to be able to take part</w:t>
            </w:r>
          </w:p>
          <w:p w14:paraId="69AA3019" w14:textId="77777777" w:rsidR="00A25C65" w:rsidRDefault="00A25C65" w:rsidP="00080D6E">
            <w:pPr>
              <w:pStyle w:val="ListParagraph"/>
              <w:numPr>
                <w:ilvl w:val="0"/>
                <w:numId w:val="1"/>
              </w:numPr>
              <w:rPr>
                <w:rFonts w:cstheme="minorHAnsi"/>
                <w:sz w:val="16"/>
                <w:szCs w:val="16"/>
              </w:rPr>
            </w:pPr>
            <w:r>
              <w:rPr>
                <w:rFonts w:cstheme="minorHAnsi"/>
                <w:sz w:val="16"/>
                <w:szCs w:val="16"/>
              </w:rPr>
              <w:t>Participants to use hand sanitiser before getting on/ after getting off the water</w:t>
            </w:r>
          </w:p>
          <w:p w14:paraId="14D0DA83" w14:textId="686E1A33" w:rsidR="00A25C65" w:rsidRPr="00080D6E" w:rsidRDefault="00A25C65" w:rsidP="00080D6E">
            <w:pPr>
              <w:pStyle w:val="ListParagraph"/>
              <w:numPr>
                <w:ilvl w:val="0"/>
                <w:numId w:val="1"/>
              </w:numPr>
              <w:rPr>
                <w:rFonts w:cstheme="minorHAnsi"/>
                <w:sz w:val="16"/>
                <w:szCs w:val="16"/>
              </w:rPr>
            </w:pPr>
            <w:r>
              <w:rPr>
                <w:rFonts w:cstheme="minorHAnsi"/>
                <w:sz w:val="16"/>
                <w:szCs w:val="16"/>
              </w:rPr>
              <w:t xml:space="preserve">Shout-reach-throw-row-go’s increased importance wrt covid to be </w:t>
            </w:r>
            <w:r w:rsidR="00B3601E">
              <w:rPr>
                <w:rFonts w:cstheme="minorHAnsi"/>
                <w:sz w:val="16"/>
                <w:szCs w:val="16"/>
              </w:rPr>
              <w:t>emphasised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5D012E15" w:rsidR="00A63980" w:rsidRPr="00937A97" w:rsidRDefault="00A25C6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5C54F8CD" w:rsidR="00A63980" w:rsidRPr="00937A97" w:rsidRDefault="00A25C6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4ADA6A82" w:rsidR="00A63980" w:rsidRPr="00937A97" w:rsidRDefault="00A25C65"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1B22714" w14:textId="02343CAB" w:rsidR="0049571D" w:rsidRPr="00A25C65" w:rsidRDefault="0049571D" w:rsidP="00A25C65">
            <w:pPr>
              <w:spacing w:after="0" w:line="240" w:lineRule="auto"/>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315762E2" w:rsidR="00A63980" w:rsidRPr="00937A97" w:rsidRDefault="00A63980" w:rsidP="499AD86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0A25C65">
        <w:trPr>
          <w:trHeight w:val="1838"/>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4159A10B" w14:textId="7AFBC10F" w:rsidR="00AF0B60" w:rsidRDefault="00A25C65"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Hand of god</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683E862" w14:textId="5DA9E2AC" w:rsidR="00BC4EFC" w:rsidRDefault="00A25C65"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28FA0786" w:rsidR="00AF0B60" w:rsidRPr="00A76FBD" w:rsidRDefault="00A25C65" w:rsidP="00AF0B60">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85A1E78" w14:textId="77777777" w:rsidR="00A25C65" w:rsidRDefault="00A25C65" w:rsidP="00A25C65">
            <w:pPr>
              <w:pStyle w:val="ListParagraph"/>
              <w:numPr>
                <w:ilvl w:val="0"/>
                <w:numId w:val="24"/>
              </w:numPr>
              <w:rPr>
                <w:rFonts w:cstheme="minorHAnsi"/>
                <w:sz w:val="16"/>
                <w:szCs w:val="16"/>
              </w:rPr>
            </w:pPr>
            <w:r>
              <w:rPr>
                <w:rFonts w:cstheme="minorHAnsi"/>
                <w:sz w:val="16"/>
                <w:szCs w:val="16"/>
              </w:rPr>
              <w:t>As above plus</w:t>
            </w:r>
          </w:p>
          <w:p w14:paraId="7C4A0F8B" w14:textId="2C205276" w:rsidR="00A25C65" w:rsidRDefault="00A25C65" w:rsidP="00A25C65">
            <w:pPr>
              <w:pStyle w:val="ListParagraph"/>
              <w:numPr>
                <w:ilvl w:val="0"/>
                <w:numId w:val="24"/>
              </w:numPr>
              <w:rPr>
                <w:rFonts w:cstheme="minorHAnsi"/>
                <w:sz w:val="16"/>
                <w:szCs w:val="16"/>
              </w:rPr>
            </w:pPr>
            <w:r>
              <w:rPr>
                <w:rFonts w:cstheme="minorHAnsi"/>
                <w:sz w:val="16"/>
                <w:szCs w:val="16"/>
              </w:rPr>
              <w:t>Participants to train doing a ‘bow to bow’ style hand of god so no face to face contact, while recognising that in non-training situations this may not always be appropriate</w:t>
            </w:r>
          </w:p>
          <w:p w14:paraId="3DB322BF" w14:textId="5F8D37C0" w:rsidR="00A25C65" w:rsidRPr="00A25C65" w:rsidRDefault="00A25C65" w:rsidP="00A25C65">
            <w:pPr>
              <w:pStyle w:val="ListParagraph"/>
              <w:numPr>
                <w:ilvl w:val="0"/>
                <w:numId w:val="24"/>
              </w:numPr>
              <w:rPr>
                <w:rFonts w:cstheme="minorHAnsi"/>
                <w:sz w:val="16"/>
                <w:szCs w:val="16"/>
              </w:rPr>
            </w:pPr>
            <w:r>
              <w:rPr>
                <w:rFonts w:cstheme="minorHAnsi"/>
                <w:sz w:val="16"/>
                <w:szCs w:val="16"/>
              </w:rPr>
              <w:lastRenderedPageBreak/>
              <w:t>Participants to push apart quickly after righting boat</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3834D664" w:rsidR="00AF0B60" w:rsidRDefault="00A25C65"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5E119A03" w:rsidR="00AF0B60" w:rsidRDefault="00A25C65"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644E3D34" w:rsidR="00AF0B60" w:rsidRDefault="00A25C65"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E31AEFA" w14:textId="2EA3B5E0" w:rsidR="0049571D" w:rsidRPr="0049571D" w:rsidRDefault="0049571D" w:rsidP="0049571D">
            <w:pPr>
              <w:rPr>
                <w:rFonts w:eastAsiaTheme="minorEastAsia"/>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3128CF4" w14:textId="13D6C52F" w:rsidR="00AF0B60" w:rsidRDefault="00AF0B60" w:rsidP="00AF0B6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6DECDFAB" w:rsidR="00AF0B60" w:rsidRDefault="00AF0B60" w:rsidP="00AF0B60">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4331F0BA" w:rsidR="00AF0B60" w:rsidRDefault="00AF0B60" w:rsidP="00AF0B60">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79EE39F2" w:rsidR="00AF0B60" w:rsidRDefault="00AF0B60" w:rsidP="00AF0B60">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0A25C65" w:rsidRPr="00313265" w14:paraId="41E2C8C7"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21057B6D" w14:textId="6111A602" w:rsidR="00A25C65" w:rsidRPr="00A76FBD" w:rsidRDefault="00A25C65" w:rsidP="00A25C65">
            <w:pPr>
              <w:spacing w:after="0" w:line="240" w:lineRule="auto"/>
              <w:rPr>
                <w:rFonts w:cstheme="minorHAnsi"/>
                <w:sz w:val="16"/>
                <w:szCs w:val="16"/>
              </w:rPr>
            </w:pPr>
            <w:r>
              <w:rPr>
                <w:rFonts w:cstheme="minorHAnsi"/>
                <w:sz w:val="16"/>
                <w:szCs w:val="16"/>
              </w:rPr>
              <w:t>X rescue</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A5CB7D9" w14:textId="164AB35F" w:rsidR="00A25C65" w:rsidRPr="00A76FBD" w:rsidRDefault="00A25C65" w:rsidP="00A25C65">
            <w:pPr>
              <w:spacing w:after="0" w:line="240" w:lineRule="auto"/>
              <w:rPr>
                <w:rFonts w:cstheme="minorHAnsi"/>
                <w:sz w:val="16"/>
                <w:szCs w:val="16"/>
              </w:rPr>
            </w:pPr>
            <w:r>
              <w:rPr>
                <w:rFonts w:cstheme="minorHAnsi"/>
                <w:sz w:val="16"/>
                <w:szCs w:val="16"/>
              </w:rPr>
              <w:t>Transmission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FACC17E" w:rsidR="00A25C65" w:rsidRPr="00A76FBD" w:rsidRDefault="00A25C65" w:rsidP="00A25C65">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1CA4F7" w14:textId="77777777" w:rsidR="00A25C65" w:rsidRDefault="00A25C65" w:rsidP="00A25C65">
            <w:pPr>
              <w:pStyle w:val="ListParagraph"/>
              <w:numPr>
                <w:ilvl w:val="0"/>
                <w:numId w:val="25"/>
              </w:numPr>
              <w:rPr>
                <w:rFonts w:cstheme="minorHAnsi"/>
                <w:sz w:val="16"/>
                <w:szCs w:val="16"/>
              </w:rPr>
            </w:pPr>
            <w:r>
              <w:rPr>
                <w:rFonts w:cstheme="minorHAnsi"/>
                <w:sz w:val="16"/>
                <w:szCs w:val="16"/>
              </w:rPr>
              <w:t>As above plus</w:t>
            </w:r>
          </w:p>
          <w:p w14:paraId="39E95F30" w14:textId="77777777" w:rsidR="00A25C65" w:rsidRDefault="00A25C65" w:rsidP="00A25C65">
            <w:pPr>
              <w:pStyle w:val="ListParagraph"/>
              <w:numPr>
                <w:ilvl w:val="0"/>
                <w:numId w:val="25"/>
              </w:numPr>
              <w:spacing w:after="0" w:line="240" w:lineRule="auto"/>
              <w:rPr>
                <w:rFonts w:cstheme="minorHAnsi"/>
                <w:sz w:val="16"/>
                <w:szCs w:val="16"/>
              </w:rPr>
            </w:pPr>
            <w:r>
              <w:rPr>
                <w:rFonts w:cstheme="minorHAnsi"/>
                <w:sz w:val="16"/>
                <w:szCs w:val="16"/>
              </w:rPr>
              <w:t>The x part to be practised with an empty boat</w:t>
            </w:r>
          </w:p>
          <w:p w14:paraId="4C6FAC6A" w14:textId="77777777" w:rsidR="00A25C65" w:rsidRDefault="00A25C65" w:rsidP="00A25C65">
            <w:pPr>
              <w:pStyle w:val="ListParagraph"/>
              <w:numPr>
                <w:ilvl w:val="0"/>
                <w:numId w:val="25"/>
              </w:numPr>
              <w:spacing w:after="0" w:line="240" w:lineRule="auto"/>
              <w:rPr>
                <w:rFonts w:cstheme="minorHAnsi"/>
                <w:sz w:val="16"/>
                <w:szCs w:val="16"/>
              </w:rPr>
            </w:pPr>
            <w:r>
              <w:rPr>
                <w:rFonts w:cstheme="minorHAnsi"/>
                <w:sz w:val="16"/>
                <w:szCs w:val="16"/>
              </w:rPr>
              <w:t>Swimmer recovery to be via the sideways method rather than the face 2 face method</w:t>
            </w:r>
          </w:p>
          <w:p w14:paraId="36E0DD1F" w14:textId="468B8920" w:rsidR="00A25C65" w:rsidRPr="00A25C65" w:rsidRDefault="00A25C65" w:rsidP="00A25C65">
            <w:pPr>
              <w:pStyle w:val="ListParagraph"/>
              <w:numPr>
                <w:ilvl w:val="0"/>
                <w:numId w:val="25"/>
              </w:numPr>
              <w:spacing w:after="0" w:line="240" w:lineRule="auto"/>
              <w:rPr>
                <w:rFonts w:cstheme="minorHAnsi"/>
                <w:sz w:val="16"/>
                <w:szCs w:val="16"/>
              </w:rPr>
            </w:pPr>
            <w:r>
              <w:rPr>
                <w:rFonts w:cstheme="minorHAnsi"/>
                <w:sz w:val="16"/>
                <w:szCs w:val="16"/>
              </w:rPr>
              <w:t>Rescuers to be taught to turn face away while swimmer being recovered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88EE51C"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0CF82842"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272D3196"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11A27F1C" w:rsidR="00A25C65" w:rsidRPr="00001577" w:rsidRDefault="00A25C65" w:rsidP="00A25C65">
            <w:pPr>
              <w:pStyle w:val="ListParagraph"/>
              <w:numPr>
                <w:ilvl w:val="0"/>
                <w:numId w:val="23"/>
              </w:num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4707CF24"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724E75BD"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61F0EA04"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r w:rsidR="00A25C65" w:rsidRPr="00313265" w14:paraId="534C5978"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45311182" w14:textId="0874FC1E" w:rsidR="00A25C65" w:rsidRPr="4E7014AB"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Contact tows</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6797BA0" w14:textId="51D40E64" w:rsidR="00A25C65" w:rsidRPr="4E7014AB"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 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58A4393F" w:rsidR="00A25C65" w:rsidRPr="4E7014AB" w:rsidRDefault="00A25C65" w:rsidP="00A25C65">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8F182A7" w14:textId="77777777" w:rsidR="00A25C65" w:rsidRDefault="00A25C65" w:rsidP="00A25C65">
            <w:pPr>
              <w:pStyle w:val="ListParagraph"/>
              <w:numPr>
                <w:ilvl w:val="0"/>
                <w:numId w:val="11"/>
              </w:numPr>
              <w:rPr>
                <w:rFonts w:cstheme="minorHAnsi"/>
                <w:sz w:val="16"/>
                <w:szCs w:val="16"/>
              </w:rPr>
            </w:pPr>
            <w:r>
              <w:rPr>
                <w:rFonts w:cstheme="minorHAnsi"/>
                <w:sz w:val="16"/>
                <w:szCs w:val="16"/>
              </w:rPr>
              <w:t>As above plus</w:t>
            </w:r>
          </w:p>
          <w:p w14:paraId="4C31D67B" w14:textId="29500FCA" w:rsidR="00A25C65" w:rsidRDefault="00A25C65" w:rsidP="00A25C65">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These to be covered theoretically via a demo by Sam with one of his housemates rather than practically – use of these to be discouraged except in extremis</w:t>
            </w:r>
          </w:p>
          <w:p w14:paraId="7449A69F" w14:textId="4FF9BDE7" w:rsidR="00A25C65" w:rsidRPr="001F3BA2" w:rsidRDefault="00A25C65" w:rsidP="00A25C65">
            <w:pPr>
              <w:pStyle w:val="ListParagraph"/>
              <w:numPr>
                <w:ilvl w:val="0"/>
                <w:numId w:val="11"/>
              </w:numPr>
              <w:spacing w:after="0" w:line="240" w:lineRule="auto"/>
              <w:rPr>
                <w:rFonts w:eastAsia="Calibri,Times New Roman"/>
                <w:color w:val="000000" w:themeColor="text1"/>
                <w:sz w:val="16"/>
                <w:szCs w:val="16"/>
                <w:lang w:eastAsia="en-GB"/>
              </w:rPr>
            </w:pPr>
            <w:r>
              <w:rPr>
                <w:rFonts w:eastAsia="Calibri,Times New Roman"/>
                <w:color w:val="000000" w:themeColor="text1"/>
                <w:sz w:val="16"/>
                <w:szCs w:val="16"/>
                <w:lang w:eastAsia="en-GB"/>
              </w:rPr>
              <w:t>Aided (sling/belt) tows to be taught and encouraged instead as these naturally facilitate social distancing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0ABE82C2"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105E3FB3"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556149EF"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ECDB8DE" w14:textId="006E3640" w:rsidR="00A25C65" w:rsidRPr="00001577" w:rsidRDefault="00A25C65" w:rsidP="00A25C65">
            <w:pPr>
              <w:pStyle w:val="ListParagraph"/>
              <w:numPr>
                <w:ilvl w:val="0"/>
                <w:numId w:val="11"/>
              </w:num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5967DBF5"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5F22E995"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760CABAC"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r w:rsidR="00A25C65" w:rsidRPr="00313265" w14:paraId="1E91E736"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48E72B31" w14:textId="3814449F"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Boat to Swimmer rescue</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70CB51" w14:textId="78C98D7E" w:rsidR="00A25C65" w:rsidRPr="00A76FBD" w:rsidRDefault="00A25C65" w:rsidP="00A25C65">
            <w:pPr>
              <w:spacing w:after="0" w:line="240" w:lineRule="auto"/>
              <w:rPr>
                <w:rFonts w:cstheme="minorHAnsi"/>
                <w:sz w:val="16"/>
                <w:szCs w:val="16"/>
              </w:rPr>
            </w:pPr>
            <w:r>
              <w:rPr>
                <w:rFonts w:eastAsia="Times New Roman"/>
                <w:color w:val="000000" w:themeColor="text1"/>
                <w:sz w:val="16"/>
                <w:szCs w:val="16"/>
                <w:lang w:eastAsia="en-GB"/>
              </w:rPr>
              <w:t>Transmission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7DF9CD55" w:rsidR="00A25C65" w:rsidRDefault="00A25C65" w:rsidP="00A25C65">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2E223A" w14:textId="77777777" w:rsidR="00A25C65" w:rsidRDefault="00A25C65" w:rsidP="00A25C65">
            <w:pPr>
              <w:pStyle w:val="ListParagraph"/>
              <w:numPr>
                <w:ilvl w:val="0"/>
                <w:numId w:val="15"/>
              </w:numPr>
              <w:rPr>
                <w:rFonts w:cstheme="minorHAnsi"/>
                <w:sz w:val="16"/>
                <w:szCs w:val="16"/>
              </w:rPr>
            </w:pPr>
            <w:r>
              <w:rPr>
                <w:rFonts w:cstheme="minorHAnsi"/>
                <w:sz w:val="16"/>
                <w:szCs w:val="16"/>
              </w:rPr>
              <w:t>As above plus</w:t>
            </w:r>
          </w:p>
          <w:p w14:paraId="57E4E037" w14:textId="77777777" w:rsidR="00A25C65" w:rsidRDefault="00A25C65" w:rsidP="00A25C65">
            <w:pPr>
              <w:pStyle w:val="ListParagraph"/>
              <w:numPr>
                <w:ilvl w:val="0"/>
                <w:numId w:val="15"/>
              </w:numPr>
              <w:rPr>
                <w:rFonts w:cstheme="minorHAnsi"/>
                <w:sz w:val="16"/>
                <w:szCs w:val="16"/>
              </w:rPr>
            </w:pPr>
            <w:r>
              <w:rPr>
                <w:rFonts w:cstheme="minorHAnsi"/>
                <w:sz w:val="16"/>
                <w:szCs w:val="16"/>
              </w:rPr>
              <w:t>Bear hug method only covered via demonstration by Sam with a housemate</w:t>
            </w:r>
          </w:p>
          <w:p w14:paraId="20461368" w14:textId="7D9BF138" w:rsidR="00A25C65" w:rsidRPr="003C3324" w:rsidRDefault="00A25C65" w:rsidP="00A25C65">
            <w:pPr>
              <w:pStyle w:val="ListParagraph"/>
              <w:numPr>
                <w:ilvl w:val="0"/>
                <w:numId w:val="15"/>
              </w:numPr>
              <w:rPr>
                <w:rFonts w:cstheme="minorHAnsi"/>
                <w:sz w:val="16"/>
                <w:szCs w:val="16"/>
              </w:rPr>
            </w:pPr>
            <w:r>
              <w:rPr>
                <w:rFonts w:cstheme="minorHAnsi"/>
                <w:sz w:val="16"/>
                <w:szCs w:val="16"/>
              </w:rPr>
              <w:lastRenderedPageBreak/>
              <w:t>Hold on the back and kick to be taught as the preferred method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49AAFFF4" w:rsidR="00A25C65" w:rsidRPr="003C3324"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402A0550" w:rsidR="00A25C65" w:rsidRPr="003C3324"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271AA774" w:rsidR="00A25C65" w:rsidRPr="003C3324"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932B560" w:rsidR="00A25C65" w:rsidRPr="00984C36" w:rsidRDefault="00A25C65" w:rsidP="00A25C65">
            <w:pPr>
              <w:pStyle w:val="ListParagraph"/>
              <w:numPr>
                <w:ilvl w:val="0"/>
                <w:numId w:val="19"/>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0E4D5E98"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4E2C2327"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2FA0FD8F"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r w:rsidR="00A25C65" w:rsidRPr="00313265" w14:paraId="4F7BD3BC"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461CD079" w14:textId="402A6A14"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Unconscious paddler extractions</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A769D8E" w14:textId="42438D18"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4C7DCAE5" w:rsidR="00A25C65" w:rsidRDefault="00A25C65" w:rsidP="00A25C65">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A8F6318" w14:textId="77777777" w:rsidR="00A25C65" w:rsidRDefault="00A25C65" w:rsidP="00A25C65">
            <w:pPr>
              <w:pStyle w:val="ListParagraph"/>
              <w:numPr>
                <w:ilvl w:val="0"/>
                <w:numId w:val="18"/>
              </w:numPr>
              <w:rPr>
                <w:rFonts w:cstheme="minorHAnsi"/>
                <w:sz w:val="16"/>
                <w:szCs w:val="16"/>
              </w:rPr>
            </w:pPr>
            <w:r>
              <w:rPr>
                <w:rFonts w:cstheme="minorHAnsi"/>
                <w:sz w:val="16"/>
                <w:szCs w:val="16"/>
              </w:rPr>
              <w:t>As above plus</w:t>
            </w:r>
          </w:p>
          <w:p w14:paraId="7B45E93E" w14:textId="77777777" w:rsidR="00A25C65" w:rsidRDefault="00A25C65" w:rsidP="00A25C65">
            <w:pPr>
              <w:pStyle w:val="ListParagraph"/>
              <w:numPr>
                <w:ilvl w:val="0"/>
                <w:numId w:val="18"/>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To be taught with an empty ‘unconscious’ boat where there are not 3 people from the same household</w:t>
            </w:r>
          </w:p>
          <w:p w14:paraId="4281F422" w14:textId="018F8E94" w:rsidR="00A25C65" w:rsidRPr="00F65CCE" w:rsidRDefault="00A25C65" w:rsidP="00A25C65">
            <w:pPr>
              <w:pStyle w:val="ListParagraph"/>
              <w:numPr>
                <w:ilvl w:val="0"/>
                <w:numId w:val="18"/>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Bow to stern method taught in preference to bow to bow</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107A19E6"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6A6A70E6"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496DB5E"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5BFC1F8A" w:rsidR="00A25C65" w:rsidRPr="00BC4EFC" w:rsidRDefault="00A25C65" w:rsidP="00A25C65">
            <w:pPr>
              <w:pStyle w:val="ListParagraph"/>
              <w:numPr>
                <w:ilvl w:val="0"/>
                <w:numId w:val="18"/>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335EEECE"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5E81C492"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294B8C9"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r w:rsidR="00A25C65" w:rsidRPr="00313265" w14:paraId="3559AB94"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4A22DEAC" w14:textId="43F5035F"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Unconscious swimmer extractions</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6C5376A" w14:textId="6D43DF1F"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6EBA98F" w14:textId="368F14E8" w:rsidR="00A25C65" w:rsidRDefault="00A25C65" w:rsidP="00A25C65">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D96C54" w14:textId="77777777" w:rsidR="00A25C65" w:rsidRDefault="00A25C65" w:rsidP="00A25C65">
            <w:pPr>
              <w:pStyle w:val="ListParagraph"/>
              <w:numPr>
                <w:ilvl w:val="0"/>
                <w:numId w:val="18"/>
              </w:numPr>
              <w:rPr>
                <w:rFonts w:cstheme="minorHAnsi"/>
                <w:sz w:val="16"/>
                <w:szCs w:val="16"/>
              </w:rPr>
            </w:pPr>
            <w:r>
              <w:rPr>
                <w:rFonts w:cstheme="minorHAnsi"/>
                <w:sz w:val="16"/>
                <w:szCs w:val="16"/>
              </w:rPr>
              <w:t>As above plus</w:t>
            </w:r>
          </w:p>
          <w:p w14:paraId="59D4BACC" w14:textId="76E1A79C" w:rsidR="00A25C65" w:rsidRPr="00A25C65" w:rsidRDefault="00A25C65" w:rsidP="00A25C65">
            <w:pPr>
              <w:pStyle w:val="ListParagraph"/>
              <w:numPr>
                <w:ilvl w:val="0"/>
                <w:numId w:val="18"/>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These to be taught theoretically due to similarities with aided tows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10F1ADF" w14:textId="37404713"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B86B307" w14:textId="37F3786C"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98F0177" w14:textId="125F9CE1"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4E37F79D" w14:textId="77777777" w:rsidR="00A25C65" w:rsidRPr="00BC4EFC" w:rsidRDefault="00A25C65" w:rsidP="00A25C65">
            <w:pPr>
              <w:pStyle w:val="ListParagraph"/>
              <w:numPr>
                <w:ilvl w:val="0"/>
                <w:numId w:val="18"/>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4232384"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31664DB" w14:textId="77777777"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D280098" w14:textId="77777777"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2ABBBA9" w14:textId="77777777"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014B005D"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r w:rsidR="00A25C65" w:rsidRPr="00313265" w14:paraId="6AA57C93"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1EC56E08" w14:textId="0B5EC252"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Shorebased training</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71AF5DC" w14:textId="5FD3A5D7"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056C14F" w14:textId="4659F5E2" w:rsidR="00A25C65" w:rsidRDefault="00A25C65" w:rsidP="00A25C65">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100B727" w14:textId="453175EF" w:rsidR="00A25C65" w:rsidRDefault="00A25C65" w:rsidP="00A25C65">
            <w:pPr>
              <w:pStyle w:val="ListParagraph"/>
              <w:numPr>
                <w:ilvl w:val="0"/>
                <w:numId w:val="18"/>
              </w:numPr>
              <w:rPr>
                <w:rFonts w:cstheme="minorHAnsi"/>
                <w:sz w:val="16"/>
                <w:szCs w:val="16"/>
              </w:rPr>
            </w:pPr>
            <w:r>
              <w:rPr>
                <w:rFonts w:cstheme="minorHAnsi"/>
                <w:sz w:val="16"/>
                <w:szCs w:val="16"/>
              </w:rPr>
              <w:t>2m social distancing to be maintained at all times between different bubbles</w:t>
            </w:r>
          </w:p>
          <w:p w14:paraId="030F570E" w14:textId="77777777" w:rsidR="00A25C65" w:rsidRDefault="00A25C65" w:rsidP="00A25C65">
            <w:pPr>
              <w:pStyle w:val="ListParagraph"/>
              <w:numPr>
                <w:ilvl w:val="0"/>
                <w:numId w:val="18"/>
              </w:numPr>
              <w:rPr>
                <w:rFonts w:cstheme="minorHAnsi"/>
                <w:sz w:val="16"/>
                <w:szCs w:val="16"/>
              </w:rPr>
            </w:pPr>
            <w:r>
              <w:rPr>
                <w:rFonts w:cstheme="minorHAnsi"/>
                <w:sz w:val="16"/>
                <w:szCs w:val="16"/>
              </w:rPr>
              <w:t>All shore based teaching to take place outside</w:t>
            </w:r>
          </w:p>
          <w:p w14:paraId="10CBBD59" w14:textId="7EA4840D" w:rsidR="00A25C65" w:rsidRDefault="00B3601E" w:rsidP="00A25C65">
            <w:pPr>
              <w:pStyle w:val="ListParagraph"/>
              <w:numPr>
                <w:ilvl w:val="0"/>
                <w:numId w:val="18"/>
              </w:numPr>
              <w:rPr>
                <w:rFonts w:cstheme="minorHAnsi"/>
                <w:sz w:val="16"/>
                <w:szCs w:val="16"/>
              </w:rPr>
            </w:pPr>
            <w:r>
              <w:rPr>
                <w:rFonts w:cstheme="minorHAnsi"/>
                <w:sz w:val="16"/>
                <w:szCs w:val="16"/>
              </w:rPr>
              <w:t>Throw bags</w:t>
            </w:r>
            <w:r w:rsidR="00A25C65">
              <w:rPr>
                <w:rFonts w:cstheme="minorHAnsi"/>
                <w:sz w:val="16"/>
                <w:szCs w:val="16"/>
              </w:rPr>
              <w:t xml:space="preserve"> to be used 1 bag to 1 household</w:t>
            </w:r>
          </w:p>
          <w:p w14:paraId="543F1485" w14:textId="77777777" w:rsidR="00A25C65" w:rsidRDefault="00A25C65" w:rsidP="00A25C65">
            <w:pPr>
              <w:pStyle w:val="ListParagraph"/>
              <w:numPr>
                <w:ilvl w:val="0"/>
                <w:numId w:val="18"/>
              </w:numPr>
              <w:rPr>
                <w:rFonts w:cstheme="minorHAnsi"/>
                <w:sz w:val="16"/>
                <w:szCs w:val="16"/>
              </w:rPr>
            </w:pPr>
            <w:r>
              <w:rPr>
                <w:rFonts w:cstheme="minorHAnsi"/>
                <w:sz w:val="16"/>
                <w:szCs w:val="16"/>
              </w:rPr>
              <w:t>Any purely theoretical content to be covered via zoom to reduce time spent on the shore at the boat hard</w:t>
            </w:r>
          </w:p>
          <w:p w14:paraId="1B4292A6" w14:textId="6CC2B10D" w:rsidR="00A25C65" w:rsidRDefault="00A25C65" w:rsidP="00A25C65">
            <w:pPr>
              <w:pStyle w:val="ListParagraph"/>
              <w:numPr>
                <w:ilvl w:val="0"/>
                <w:numId w:val="18"/>
              </w:numPr>
              <w:rPr>
                <w:rFonts w:cstheme="minorHAnsi"/>
                <w:sz w:val="16"/>
                <w:szCs w:val="16"/>
              </w:rPr>
            </w:pPr>
            <w:r>
              <w:rPr>
                <w:rFonts w:cstheme="minorHAnsi"/>
                <w:sz w:val="16"/>
                <w:szCs w:val="16"/>
              </w:rPr>
              <w:t>Shorebased training to take place on the grass area to avoid mixing with other groups using the centre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4009E74" w14:textId="0E3044CB"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6CBC08E" w14:textId="1AE9376B"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51A6B717" w14:textId="1824A2F6"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8</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3CACD58" w14:textId="77777777" w:rsidR="00A25C65" w:rsidRPr="00BC4EFC" w:rsidRDefault="00A25C65" w:rsidP="00A25C65">
            <w:pPr>
              <w:pStyle w:val="ListParagraph"/>
              <w:numPr>
                <w:ilvl w:val="0"/>
                <w:numId w:val="18"/>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634503C"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FF6C82A" w14:textId="77777777"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969E034" w14:textId="77777777"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DCB08EE" w14:textId="77777777"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122445E"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r w:rsidR="00A25C65" w:rsidRPr="00313265" w14:paraId="4FE51201" w14:textId="77777777" w:rsidTr="00A25C65">
        <w:trPr>
          <w:trHeight w:val="489"/>
        </w:trPr>
        <w:tc>
          <w:tcPr>
            <w:tcW w:w="398" w:type="pct"/>
            <w:tcBorders>
              <w:top w:val="single" w:sz="4" w:space="0" w:color="auto"/>
              <w:left w:val="single" w:sz="4" w:space="0" w:color="auto"/>
              <w:bottom w:val="single" w:sz="4" w:space="0" w:color="auto"/>
              <w:right w:val="single" w:sz="4" w:space="0" w:color="auto"/>
            </w:tcBorders>
            <w:shd w:val="clear" w:color="auto" w:fill="auto"/>
            <w:noWrap/>
          </w:tcPr>
          <w:p w14:paraId="394A118C" w14:textId="53D92A0A"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Closure of the changing rooms</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8FEAD8" w14:textId="56309928"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Increased risk of hypothermia during wet </w:t>
            </w:r>
            <w:r>
              <w:rPr>
                <w:rFonts w:eastAsia="Times New Roman"/>
                <w:color w:val="000000" w:themeColor="text1"/>
                <w:sz w:val="16"/>
                <w:szCs w:val="16"/>
                <w:lang w:eastAsia="en-GB"/>
              </w:rPr>
              <w:lastRenderedPageBreak/>
              <w:t>elements of the training as harder to warm up</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51316025" w14:textId="32D014FE" w:rsidR="00A25C65" w:rsidRDefault="00A25C65" w:rsidP="00A25C65">
            <w:pPr>
              <w:rPr>
                <w:rFonts w:eastAsia="Times New Roman"/>
                <w:color w:val="000000" w:themeColor="text1"/>
                <w:sz w:val="16"/>
                <w:szCs w:val="16"/>
                <w:lang w:eastAsia="en-GB"/>
              </w:rPr>
            </w:pPr>
            <w:r>
              <w:rPr>
                <w:rFonts w:eastAsia="Times New Roman"/>
                <w:color w:val="000000" w:themeColor="text1"/>
                <w:sz w:val="16"/>
                <w:szCs w:val="16"/>
                <w:lang w:eastAsia="en-GB"/>
              </w:rPr>
              <w:lastRenderedPageBreak/>
              <w:t>Mock casualties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15D3975" w14:textId="77777777" w:rsidR="00A25C65" w:rsidRDefault="00A25C65" w:rsidP="00A25C65">
            <w:pPr>
              <w:pStyle w:val="ListParagraph"/>
              <w:numPr>
                <w:ilvl w:val="0"/>
                <w:numId w:val="18"/>
              </w:numPr>
              <w:rPr>
                <w:rFonts w:cstheme="minorHAnsi"/>
                <w:sz w:val="16"/>
                <w:szCs w:val="16"/>
              </w:rPr>
            </w:pPr>
            <w:r>
              <w:rPr>
                <w:rFonts w:cstheme="minorHAnsi"/>
                <w:sz w:val="16"/>
                <w:szCs w:val="16"/>
              </w:rPr>
              <w:t>All participants to wear wetsuits and/or dry kit</w:t>
            </w:r>
          </w:p>
          <w:p w14:paraId="37286A90" w14:textId="0825BD90" w:rsidR="00A25C65" w:rsidRPr="00A25C65" w:rsidRDefault="00A25C65" w:rsidP="00A25C65">
            <w:pPr>
              <w:pStyle w:val="ListParagraph"/>
              <w:numPr>
                <w:ilvl w:val="0"/>
                <w:numId w:val="18"/>
              </w:numPr>
              <w:rPr>
                <w:rFonts w:cstheme="minorHAnsi"/>
                <w:sz w:val="16"/>
                <w:szCs w:val="16"/>
              </w:rPr>
            </w:pPr>
            <w:r>
              <w:rPr>
                <w:rFonts w:cstheme="minorHAnsi"/>
                <w:sz w:val="16"/>
                <w:szCs w:val="16"/>
              </w:rPr>
              <w:t>Safety kit with survival bags present</w:t>
            </w:r>
          </w:p>
          <w:p w14:paraId="50DD8370" w14:textId="77777777" w:rsidR="00A25C65" w:rsidRDefault="00A25C65" w:rsidP="00A25C65">
            <w:pPr>
              <w:pStyle w:val="ListParagraph"/>
              <w:numPr>
                <w:ilvl w:val="0"/>
                <w:numId w:val="18"/>
              </w:numPr>
              <w:rPr>
                <w:rFonts w:cstheme="minorHAnsi"/>
                <w:sz w:val="16"/>
                <w:szCs w:val="16"/>
              </w:rPr>
            </w:pPr>
            <w:r>
              <w:rPr>
                <w:rFonts w:cstheme="minorHAnsi"/>
                <w:sz w:val="16"/>
                <w:szCs w:val="16"/>
              </w:rPr>
              <w:lastRenderedPageBreak/>
              <w:t>Flask of hot-chocolate available if necessary</w:t>
            </w:r>
          </w:p>
          <w:p w14:paraId="6A1383C3" w14:textId="5D51882D" w:rsidR="00A25C65" w:rsidRDefault="00A25C65" w:rsidP="00A25C65">
            <w:pPr>
              <w:pStyle w:val="ListParagraph"/>
              <w:numPr>
                <w:ilvl w:val="0"/>
                <w:numId w:val="18"/>
              </w:numPr>
              <w:rPr>
                <w:rFonts w:cstheme="minorHAnsi"/>
                <w:sz w:val="16"/>
                <w:szCs w:val="16"/>
              </w:rPr>
            </w:pPr>
            <w:r>
              <w:rPr>
                <w:rFonts w:cstheme="minorHAnsi"/>
                <w:sz w:val="16"/>
                <w:szCs w:val="16"/>
              </w:rPr>
              <w:t>Continual dynamic risk assessment of learner’s temperatures to be made by Sam</w:t>
            </w:r>
          </w:p>
          <w:p w14:paraId="729ED4A7" w14:textId="77777777" w:rsidR="00A25C65" w:rsidRDefault="00A25C65" w:rsidP="00A25C65">
            <w:pPr>
              <w:pStyle w:val="ListParagraph"/>
              <w:numPr>
                <w:ilvl w:val="0"/>
                <w:numId w:val="18"/>
              </w:numPr>
              <w:rPr>
                <w:rFonts w:cstheme="minorHAnsi"/>
                <w:sz w:val="16"/>
                <w:szCs w:val="16"/>
              </w:rPr>
            </w:pPr>
            <w:r>
              <w:rPr>
                <w:rFonts w:cstheme="minorHAnsi"/>
                <w:sz w:val="16"/>
                <w:szCs w:val="16"/>
              </w:rPr>
              <w:t>In water elements to be left until the end</w:t>
            </w:r>
          </w:p>
          <w:p w14:paraId="4C29CC56" w14:textId="77777777" w:rsidR="00A25C65" w:rsidRDefault="00A25C65" w:rsidP="00A25C65">
            <w:pPr>
              <w:pStyle w:val="ListParagraph"/>
              <w:numPr>
                <w:ilvl w:val="0"/>
                <w:numId w:val="18"/>
              </w:numPr>
              <w:rPr>
                <w:rFonts w:cstheme="minorHAnsi"/>
                <w:sz w:val="16"/>
                <w:szCs w:val="16"/>
              </w:rPr>
            </w:pPr>
            <w:r>
              <w:rPr>
                <w:rFonts w:cstheme="minorHAnsi"/>
                <w:sz w:val="16"/>
                <w:szCs w:val="16"/>
              </w:rPr>
              <w:t>Only using people in the water where strictly necessary</w:t>
            </w:r>
          </w:p>
          <w:p w14:paraId="6E42590F" w14:textId="50CB14E1" w:rsidR="00A25C65" w:rsidRDefault="00A25C65" w:rsidP="00A25C65">
            <w:pPr>
              <w:pStyle w:val="ListParagraph"/>
              <w:numPr>
                <w:ilvl w:val="0"/>
                <w:numId w:val="18"/>
              </w:numPr>
              <w:rPr>
                <w:rFonts w:cstheme="minorHAnsi"/>
                <w:sz w:val="16"/>
                <w:szCs w:val="16"/>
              </w:rPr>
            </w:pPr>
            <w:r>
              <w:rPr>
                <w:rFonts w:cstheme="minorHAnsi"/>
                <w:sz w:val="16"/>
                <w:szCs w:val="16"/>
              </w:rPr>
              <w:t>Water temperature is relatively warm in October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25F8AB1" w14:textId="19ECE47E"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6584DB1" w14:textId="300666B4"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4A94B48" w14:textId="009ED253" w:rsidR="00A25C65" w:rsidRDefault="00A25C65" w:rsidP="00A25C65">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DB9DAAE" w14:textId="77777777" w:rsidR="00A25C65" w:rsidRPr="00BC4EFC" w:rsidRDefault="00A25C65" w:rsidP="00A25C65">
            <w:pPr>
              <w:pStyle w:val="ListParagraph"/>
              <w:numPr>
                <w:ilvl w:val="0"/>
                <w:numId w:val="18"/>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E0710AA" w14:textId="77777777" w:rsidR="00A25C65" w:rsidRPr="30B5D7B1" w:rsidRDefault="00A25C65" w:rsidP="00A25C65">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72039" w14:textId="77777777" w:rsidR="00A25C65" w:rsidRDefault="00A25C65" w:rsidP="00A25C65">
            <w:pPr>
              <w:spacing w:after="0" w:line="240" w:lineRule="auto"/>
              <w:rPr>
                <w:rFonts w:eastAsia="Times New Roman"/>
                <w:color w:val="000000" w:themeColor="text1"/>
                <w:sz w:val="16"/>
                <w:szCs w:val="16"/>
                <w:lang w:eastAsia="en-GB"/>
              </w:rPr>
            </w:pP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723C1C12" w14:textId="77777777" w:rsidR="00A25C65" w:rsidRDefault="00A25C65" w:rsidP="00A25C65">
            <w:pPr>
              <w:spacing w:after="0" w:line="240" w:lineRule="auto"/>
              <w:rPr>
                <w:rFonts w:eastAsia="Times New Roman"/>
                <w:color w:val="000000" w:themeColor="text1"/>
                <w:sz w:val="16"/>
                <w:szCs w:val="16"/>
                <w:lang w:eastAsia="en-GB"/>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070DD7ED" w14:textId="77777777" w:rsidR="00A25C65" w:rsidRDefault="00A25C65" w:rsidP="00A25C65">
            <w:pPr>
              <w:spacing w:after="0" w:line="240" w:lineRule="auto"/>
              <w:rPr>
                <w:rFonts w:eastAsia="Times New Roman"/>
                <w:color w:val="000000" w:themeColor="text1"/>
                <w:sz w:val="16"/>
                <w:szCs w:val="16"/>
                <w:lang w:eastAsia="en-GB"/>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9215C77" w14:textId="77777777" w:rsidR="00A25C65" w:rsidRPr="00313265" w:rsidRDefault="00A25C65" w:rsidP="00A25C65">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lastRenderedPageBreak/>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A25C65" w14:paraId="3CEFF9C2"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867970E" w14:textId="77777777" w:rsidR="00A25C65" w:rsidRDefault="00A25C65" w:rsidP="30B5D7B1">
            <w:pPr>
              <w:rPr>
                <w:b w:val="0"/>
                <w:bCs w:val="0"/>
                <w:sz w:val="20"/>
                <w:szCs w:val="20"/>
              </w:rPr>
            </w:pPr>
            <w:r>
              <w:rPr>
                <w:sz w:val="20"/>
                <w:szCs w:val="20"/>
              </w:rPr>
              <w:t>Experienced sign-off:</w:t>
            </w:r>
          </w:p>
          <w:p w14:paraId="76FE2EDF" w14:textId="30AFAA37" w:rsidR="00A25C65" w:rsidRPr="30B5D7B1" w:rsidRDefault="00A25C65" w:rsidP="30B5D7B1">
            <w:pPr>
              <w:rPr>
                <w:sz w:val="20"/>
                <w:szCs w:val="20"/>
              </w:rPr>
            </w:pPr>
            <w:r>
              <w:rPr>
                <w:sz w:val="20"/>
                <w:szCs w:val="20"/>
              </w:rPr>
              <w:t>Sam Tweedle</w:t>
            </w:r>
          </w:p>
        </w:tc>
        <w:tc>
          <w:tcPr>
            <w:tcW w:w="3637" w:type="dxa"/>
            <w:gridSpan w:val="2"/>
          </w:tcPr>
          <w:p w14:paraId="10591933" w14:textId="21E7F188" w:rsidR="00A25C65" w:rsidRPr="30B5D7B1" w:rsidRDefault="00B3601E" w:rsidP="30B5D7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 06/09/2020</w:t>
            </w:r>
          </w:p>
        </w:tc>
        <w:tc>
          <w:tcPr>
            <w:tcW w:w="7044" w:type="dxa"/>
          </w:tcPr>
          <w:p w14:paraId="45287A7D" w14:textId="1548AF0E" w:rsidR="00A25C65" w:rsidRDefault="00A25C65" w:rsidP="00180D7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L2 coach</w:t>
            </w:r>
          </w:p>
        </w:tc>
      </w:tr>
      <w:tr w:rsidR="00180D7A" w14:paraId="5A8E5020" w14:textId="77777777" w:rsidTr="4E7014AB">
        <w:trPr>
          <w:trHeight w:val="645"/>
        </w:trPr>
        <w:tc>
          <w:tcPr>
            <w:tcW w:w="3559" w:type="dxa"/>
          </w:tcPr>
          <w:p w14:paraId="19E09FFC" w14:textId="1A9EB676" w:rsidR="00180D7A" w:rsidRDefault="30B5D7B1" w:rsidP="30B5D7B1">
            <w:pPr>
              <w:cnfStyle w:val="001000000000" w:firstRow="0" w:lastRow="0" w:firstColumn="1" w:lastColumn="0" w:oddVBand="0" w:evenVBand="0" w:oddHBand="0" w:evenHBand="0" w:firstRowFirstColumn="0" w:firstRowLastColumn="0" w:lastRowFirstColumn="0" w:lastRowLastColumn="0"/>
              <w:rPr>
                <w:sz w:val="20"/>
                <w:szCs w:val="20"/>
              </w:rPr>
            </w:pPr>
            <w:r w:rsidRPr="30B5D7B1">
              <w:rPr>
                <w:sz w:val="20"/>
                <w:szCs w:val="20"/>
              </w:rPr>
              <w:t>Responsible person (SA/DM):</w:t>
            </w:r>
          </w:p>
          <w:p w14:paraId="370F5B4D" w14:textId="09B69200" w:rsidR="00180D7A" w:rsidRDefault="00A25C65" w:rsidP="30B5D7B1">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 xml:space="preserve">Euan </w:t>
            </w:r>
            <w:r w:rsidR="00B3601E">
              <w:rPr>
                <w:sz w:val="20"/>
                <w:szCs w:val="20"/>
              </w:rPr>
              <w:t>Donovan</w:t>
            </w:r>
            <w:r>
              <w:rPr>
                <w:sz w:val="20"/>
                <w:szCs w:val="20"/>
              </w:rPr>
              <w:t>-Hill</w:t>
            </w:r>
            <w:r w:rsidR="00D91C7F">
              <w:rPr>
                <w:sz w:val="20"/>
                <w:szCs w:val="20"/>
              </w:rPr>
              <w:t xml:space="preserve"> (President)</w:t>
            </w:r>
          </w:p>
        </w:tc>
        <w:tc>
          <w:tcPr>
            <w:tcW w:w="3637" w:type="dxa"/>
            <w:gridSpan w:val="2"/>
          </w:tcPr>
          <w:p w14:paraId="73A269A1" w14:textId="2F6F8C7C" w:rsidR="00180D7A" w:rsidRDefault="30B5D7B1" w:rsidP="30B5D7B1">
            <w:pPr>
              <w:rPr>
                <w:sz w:val="20"/>
                <w:szCs w:val="20"/>
              </w:rPr>
            </w:pPr>
            <w:r w:rsidRPr="30B5D7B1">
              <w:rPr>
                <w:sz w:val="20"/>
                <w:szCs w:val="20"/>
              </w:rPr>
              <w:t>Date:</w:t>
            </w:r>
            <w:r w:rsidR="00B3601E">
              <w:rPr>
                <w:sz w:val="20"/>
                <w:szCs w:val="20"/>
              </w:rPr>
              <w:t xml:space="preserve">  07/09/2020</w:t>
            </w:r>
            <w:bookmarkStart w:id="0" w:name="_GoBack"/>
            <w:bookmarkEnd w:id="0"/>
          </w:p>
          <w:p w14:paraId="632E79B4" w14:textId="1F7AB4AD" w:rsidR="00180D7A" w:rsidRDefault="00180D7A" w:rsidP="30B5D7B1">
            <w:pPr>
              <w:rPr>
                <w:sz w:val="20"/>
                <w:szCs w:val="20"/>
              </w:rPr>
            </w:pPr>
          </w:p>
        </w:tc>
        <w:tc>
          <w:tcPr>
            <w:tcW w:w="7044" w:type="dxa"/>
          </w:tcPr>
          <w:p w14:paraId="08FFDB57" w14:textId="77777777" w:rsidR="00180D7A" w:rsidRDefault="00180D7A" w:rsidP="00180D7A">
            <w:pPr>
              <w:rPr>
                <w:sz w:val="20"/>
                <w:szCs w:val="20"/>
              </w:rPr>
            </w:pP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D074" w14:textId="77777777" w:rsidR="00CB7325" w:rsidRDefault="00CB7325" w:rsidP="00A26B8F">
      <w:pPr>
        <w:spacing w:after="0" w:line="240" w:lineRule="auto"/>
      </w:pPr>
      <w:r>
        <w:separator/>
      </w:r>
    </w:p>
  </w:endnote>
  <w:endnote w:type="continuationSeparator" w:id="0">
    <w:p w14:paraId="0805DD3C" w14:textId="77777777" w:rsidR="00CB7325" w:rsidRDefault="00CB7325"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A4BB" w14:textId="77777777" w:rsidR="00CB7325" w:rsidRDefault="00CB7325" w:rsidP="00A26B8F">
      <w:pPr>
        <w:spacing w:after="0" w:line="240" w:lineRule="auto"/>
      </w:pPr>
      <w:r>
        <w:separator/>
      </w:r>
    </w:p>
  </w:footnote>
  <w:footnote w:type="continuationSeparator" w:id="0">
    <w:p w14:paraId="3D40D7BE" w14:textId="77777777" w:rsidR="00CB7325" w:rsidRDefault="00CB7325"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20FEA"/>
    <w:multiLevelType w:val="hybridMultilevel"/>
    <w:tmpl w:val="5D50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6"/>
    <w:multiLevelType w:val="hybridMultilevel"/>
    <w:tmpl w:val="6BDC3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240E0"/>
    <w:multiLevelType w:val="hybridMultilevel"/>
    <w:tmpl w:val="0BB6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A562A"/>
    <w:multiLevelType w:val="hybridMultilevel"/>
    <w:tmpl w:val="B582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8"/>
  </w:num>
  <w:num w:numId="4">
    <w:abstractNumId w:val="4"/>
  </w:num>
  <w:num w:numId="5">
    <w:abstractNumId w:val="7"/>
  </w:num>
  <w:num w:numId="6">
    <w:abstractNumId w:val="16"/>
  </w:num>
  <w:num w:numId="7">
    <w:abstractNumId w:val="9"/>
  </w:num>
  <w:num w:numId="8">
    <w:abstractNumId w:val="13"/>
  </w:num>
  <w:num w:numId="9">
    <w:abstractNumId w:val="12"/>
  </w:num>
  <w:num w:numId="10">
    <w:abstractNumId w:val="15"/>
  </w:num>
  <w:num w:numId="11">
    <w:abstractNumId w:val="2"/>
  </w:num>
  <w:num w:numId="12">
    <w:abstractNumId w:val="22"/>
  </w:num>
  <w:num w:numId="13">
    <w:abstractNumId w:val="23"/>
  </w:num>
  <w:num w:numId="14">
    <w:abstractNumId w:val="1"/>
  </w:num>
  <w:num w:numId="15">
    <w:abstractNumId w:val="3"/>
  </w:num>
  <w:num w:numId="16">
    <w:abstractNumId w:val="20"/>
  </w:num>
  <w:num w:numId="17">
    <w:abstractNumId w:val="8"/>
  </w:num>
  <w:num w:numId="18">
    <w:abstractNumId w:val="10"/>
  </w:num>
  <w:num w:numId="19">
    <w:abstractNumId w:val="6"/>
  </w:num>
  <w:num w:numId="20">
    <w:abstractNumId w:val="21"/>
  </w:num>
  <w:num w:numId="21">
    <w:abstractNumId w:val="17"/>
  </w:num>
  <w:num w:numId="22">
    <w:abstractNumId w:val="0"/>
  </w:num>
  <w:num w:numId="23">
    <w:abstractNumId w:val="5"/>
  </w:num>
  <w:num w:numId="24">
    <w:abstractNumId w:val="24"/>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6590"/>
    <w:rsid w:val="00020BCB"/>
    <w:rsid w:val="0003744F"/>
    <w:rsid w:val="000640B0"/>
    <w:rsid w:val="00080D6E"/>
    <w:rsid w:val="00094017"/>
    <w:rsid w:val="000A0221"/>
    <w:rsid w:val="000B5042"/>
    <w:rsid w:val="000C10ED"/>
    <w:rsid w:val="000C3E9E"/>
    <w:rsid w:val="000D1416"/>
    <w:rsid w:val="00101E03"/>
    <w:rsid w:val="00121281"/>
    <w:rsid w:val="00180D7A"/>
    <w:rsid w:val="00192311"/>
    <w:rsid w:val="00196919"/>
    <w:rsid w:val="001C2369"/>
    <w:rsid w:val="001D2C6E"/>
    <w:rsid w:val="001F3BA2"/>
    <w:rsid w:val="00202369"/>
    <w:rsid w:val="00220EC7"/>
    <w:rsid w:val="00221160"/>
    <w:rsid w:val="00234856"/>
    <w:rsid w:val="0024181C"/>
    <w:rsid w:val="002A3B29"/>
    <w:rsid w:val="002D13EF"/>
    <w:rsid w:val="002F4E56"/>
    <w:rsid w:val="00313265"/>
    <w:rsid w:val="00320048"/>
    <w:rsid w:val="003C3324"/>
    <w:rsid w:val="003C4786"/>
    <w:rsid w:val="0043667F"/>
    <w:rsid w:val="00447877"/>
    <w:rsid w:val="0049571D"/>
    <w:rsid w:val="004B1574"/>
    <w:rsid w:val="00504070"/>
    <w:rsid w:val="005070AF"/>
    <w:rsid w:val="00544C4D"/>
    <w:rsid w:val="00550A40"/>
    <w:rsid w:val="00553572"/>
    <w:rsid w:val="005F124E"/>
    <w:rsid w:val="00601A92"/>
    <w:rsid w:val="006110F5"/>
    <w:rsid w:val="006276BE"/>
    <w:rsid w:val="0066235F"/>
    <w:rsid w:val="0067055E"/>
    <w:rsid w:val="00683C79"/>
    <w:rsid w:val="006A38B7"/>
    <w:rsid w:val="00704BD1"/>
    <w:rsid w:val="007066E1"/>
    <w:rsid w:val="007508BE"/>
    <w:rsid w:val="00766BB2"/>
    <w:rsid w:val="007827AD"/>
    <w:rsid w:val="0078401E"/>
    <w:rsid w:val="007D5F9D"/>
    <w:rsid w:val="007F2D8A"/>
    <w:rsid w:val="00860A0E"/>
    <w:rsid w:val="0086394A"/>
    <w:rsid w:val="00870D9F"/>
    <w:rsid w:val="00884BB0"/>
    <w:rsid w:val="008A475F"/>
    <w:rsid w:val="008B5032"/>
    <w:rsid w:val="008F4BF8"/>
    <w:rsid w:val="00912C05"/>
    <w:rsid w:val="00937A97"/>
    <w:rsid w:val="00984C36"/>
    <w:rsid w:val="009A621B"/>
    <w:rsid w:val="009C132E"/>
    <w:rsid w:val="00A13C00"/>
    <w:rsid w:val="00A23726"/>
    <w:rsid w:val="00A25C65"/>
    <w:rsid w:val="00A26B8F"/>
    <w:rsid w:val="00A33118"/>
    <w:rsid w:val="00A63980"/>
    <w:rsid w:val="00A8556E"/>
    <w:rsid w:val="00A940E3"/>
    <w:rsid w:val="00AF0B60"/>
    <w:rsid w:val="00AF6D0C"/>
    <w:rsid w:val="00B16361"/>
    <w:rsid w:val="00B1657B"/>
    <w:rsid w:val="00B3601E"/>
    <w:rsid w:val="00B51994"/>
    <w:rsid w:val="00B607E3"/>
    <w:rsid w:val="00B61196"/>
    <w:rsid w:val="00B66CC4"/>
    <w:rsid w:val="00B706D9"/>
    <w:rsid w:val="00B973D2"/>
    <w:rsid w:val="00BC4EFC"/>
    <w:rsid w:val="00BC6C3E"/>
    <w:rsid w:val="00C05B4C"/>
    <w:rsid w:val="00C15FCB"/>
    <w:rsid w:val="00C345A9"/>
    <w:rsid w:val="00C86CAC"/>
    <w:rsid w:val="00C96EAA"/>
    <w:rsid w:val="00CB7325"/>
    <w:rsid w:val="00CD5CC3"/>
    <w:rsid w:val="00CE131F"/>
    <w:rsid w:val="00D10FD5"/>
    <w:rsid w:val="00D31C79"/>
    <w:rsid w:val="00D32F7C"/>
    <w:rsid w:val="00D64123"/>
    <w:rsid w:val="00D65254"/>
    <w:rsid w:val="00D845C6"/>
    <w:rsid w:val="00D91C7F"/>
    <w:rsid w:val="00DA70A3"/>
    <w:rsid w:val="00E47279"/>
    <w:rsid w:val="00E52829"/>
    <w:rsid w:val="00E74C7F"/>
    <w:rsid w:val="00E8229B"/>
    <w:rsid w:val="00E97613"/>
    <w:rsid w:val="00ED2124"/>
    <w:rsid w:val="00F13960"/>
    <w:rsid w:val="00F36918"/>
    <w:rsid w:val="00F65CCE"/>
    <w:rsid w:val="00F72915"/>
    <w:rsid w:val="00F7453A"/>
    <w:rsid w:val="00F8541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news/2020/covid-19-update-latest-guidance-on-british-canoeing-qualifications-and-awards"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2ECD"/>
    <w:rsid w:val="00044F00"/>
    <w:rsid w:val="00051E12"/>
    <w:rsid w:val="000733D2"/>
    <w:rsid w:val="000F22F0"/>
    <w:rsid w:val="0011206E"/>
    <w:rsid w:val="00112A1E"/>
    <w:rsid w:val="001F6467"/>
    <w:rsid w:val="00334673"/>
    <w:rsid w:val="003C68B9"/>
    <w:rsid w:val="003D4DA5"/>
    <w:rsid w:val="00476158"/>
    <w:rsid w:val="0058514A"/>
    <w:rsid w:val="006C0755"/>
    <w:rsid w:val="00AA6368"/>
    <w:rsid w:val="00C2316C"/>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9CC51-3A10-4E57-9935-3C5BCB53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cp:lastModifiedBy>
  <cp:revision>3</cp:revision>
  <dcterms:created xsi:type="dcterms:W3CDTF">2020-09-06T19:28:00Z</dcterms:created>
  <dcterms:modified xsi:type="dcterms:W3CDTF">2020-09-07T09:51:00Z</dcterms:modified>
</cp:coreProperties>
</file>