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00A12117">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1A0112B4" w:rsidR="00102260" w:rsidRDefault="78AB82E7" w:rsidP="78AB82E7">
            <w:pPr>
              <w:spacing w:after="0"/>
              <w:rPr>
                <w:b/>
                <w:bCs/>
                <w:color w:val="FFFFFF" w:themeColor="background1"/>
                <w:sz w:val="32"/>
                <w:szCs w:val="32"/>
              </w:rPr>
            </w:pPr>
            <w:r w:rsidRPr="78AB82E7">
              <w:rPr>
                <w:b/>
                <w:bCs/>
                <w:color w:val="FFFFFF" w:themeColor="background1"/>
                <w:sz w:val="32"/>
                <w:szCs w:val="32"/>
              </w:rPr>
              <w:t xml:space="preserve">Work/Activity: </w:t>
            </w:r>
            <w:r w:rsidR="00ED6B8F">
              <w:rPr>
                <w:b/>
                <w:bCs/>
                <w:color w:val="FFFFFF" w:themeColor="background1"/>
                <w:sz w:val="32"/>
                <w:szCs w:val="32"/>
              </w:rPr>
              <w:t>Committee activities</w:t>
            </w:r>
          </w:p>
        </w:tc>
      </w:tr>
      <w:tr w:rsidR="00102260" w14:paraId="3ADAAB26" w14:textId="77777777" w:rsidTr="00A12117">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735CFB6F" w14:textId="7138300D" w:rsidR="00102260" w:rsidRDefault="4B53A42E">
            <w:pPr>
              <w:spacing w:after="0"/>
              <w:rPr>
                <w:b/>
                <w:bCs/>
              </w:rPr>
            </w:pPr>
            <w:r w:rsidRPr="4B53A42E">
              <w:rPr>
                <w:b/>
                <w:bCs/>
              </w:rPr>
              <w:t xml:space="preserve"> </w:t>
            </w:r>
            <w:r w:rsidR="00ED6B8F">
              <w:rPr>
                <w:b/>
                <w:bCs/>
              </w:rPr>
              <w:t xml:space="preserve">Committee activities such as kit repairs and maintenance that are high risk, such as use of power tools and plastic welding. </w:t>
            </w:r>
          </w:p>
          <w:p w14:paraId="139859C9" w14:textId="77777777" w:rsidR="00ED6B8F" w:rsidRDefault="00ED6B8F">
            <w:pPr>
              <w:spacing w:after="0"/>
              <w:rPr>
                <w:b/>
                <w:bCs/>
              </w:rPr>
            </w:pPr>
          </w:p>
          <w:p w14:paraId="3ECB79A8" w14:textId="77777777" w:rsidR="00C87C3A" w:rsidRDefault="00ED6B8F">
            <w:pPr>
              <w:spacing w:after="0"/>
              <w:rPr>
                <w:b/>
                <w:bCs/>
              </w:rPr>
            </w:pPr>
            <w:r>
              <w:rPr>
                <w:b/>
                <w:bCs/>
              </w:rPr>
              <w:t xml:space="preserve">Activities will likely take place at the kit shed at the university water </w:t>
            </w:r>
            <w:r w:rsidR="00C87C3A">
              <w:rPr>
                <w:b/>
                <w:bCs/>
              </w:rPr>
              <w:t>sports complex but</w:t>
            </w:r>
            <w:r>
              <w:rPr>
                <w:b/>
                <w:bCs/>
              </w:rPr>
              <w:t xml:space="preserve"> may also occur in other locations.</w:t>
            </w:r>
          </w:p>
          <w:p w14:paraId="6B8339F7" w14:textId="77777777" w:rsidR="0081201B" w:rsidRDefault="0081201B">
            <w:pPr>
              <w:spacing w:after="0"/>
              <w:rPr>
                <w:b/>
                <w:bCs/>
              </w:rPr>
            </w:pPr>
          </w:p>
          <w:p w14:paraId="22DF165E" w14:textId="094BAA53" w:rsidR="0081201B" w:rsidRDefault="0081201B">
            <w:pPr>
              <w:spacing w:after="0"/>
              <w:rPr>
                <w:b/>
                <w:bCs/>
              </w:rPr>
            </w:pPr>
          </w:p>
        </w:tc>
      </w:tr>
      <w:tr w:rsidR="00102260" w14:paraId="15D31963" w14:textId="77777777" w:rsidTr="00A12117">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58F2524E" w:rsidR="00102260" w:rsidRDefault="4B53A42E" w:rsidP="4B53A42E">
            <w:pPr>
              <w:spacing w:after="0"/>
              <w:rPr>
                <w:color w:val="FFFFFF" w:themeColor="background1"/>
              </w:rPr>
            </w:pPr>
            <w:r w:rsidRPr="4B53A42E">
              <w:rPr>
                <w:color w:val="FFFFFF" w:themeColor="background1"/>
              </w:rPr>
              <w:t xml:space="preserve">Southampton University Canoe Club </w:t>
            </w:r>
            <w:r w:rsidR="00D32BB6">
              <w:rPr>
                <w:color w:val="FFFFFF" w:themeColor="background1"/>
              </w:rPr>
              <w:t>2020/2021</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12035960" w14:textId="3AA65083" w:rsidR="00ED6B8F" w:rsidRDefault="00250C97" w:rsidP="4B53A42E">
            <w:pPr>
              <w:spacing w:after="0"/>
              <w:rPr>
                <w:color w:val="FFFFFF" w:themeColor="background1"/>
              </w:rPr>
            </w:pPr>
            <w:r>
              <w:rPr>
                <w:color w:val="FFFFFF" w:themeColor="background1"/>
              </w:rPr>
              <w:t>Alex Green</w:t>
            </w:r>
            <w:r w:rsidR="00ED6B8F">
              <w:rPr>
                <w:color w:val="FFFFFF" w:themeColor="background1"/>
              </w:rPr>
              <w:t xml:space="preserve"> (Kit secretary)</w:t>
            </w:r>
          </w:p>
          <w:p w14:paraId="2FD5CE4E" w14:textId="3F62321F" w:rsidR="00DE13A7" w:rsidRDefault="00250C97" w:rsidP="4B53A42E">
            <w:pPr>
              <w:spacing w:after="0"/>
              <w:rPr>
                <w:color w:val="FFFFFF" w:themeColor="background1"/>
              </w:rPr>
            </w:pPr>
            <w:r>
              <w:rPr>
                <w:color w:val="FFFFFF" w:themeColor="background1"/>
              </w:rPr>
              <w:t>Katherine Scott-Taylor</w:t>
            </w:r>
            <w:r w:rsidR="00A12117">
              <w:rPr>
                <w:color w:val="FFFFFF" w:themeColor="background1"/>
              </w:rPr>
              <w:t xml:space="preserve"> (Safety Secretary)</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00A12117">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00A12117">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[e.g]</w:t>
            </w:r>
          </w:p>
          <w:p w14:paraId="357C739E" w14:textId="77777777" w:rsidR="00102260" w:rsidRDefault="00424012">
            <w:pPr>
              <w:pStyle w:val="ListParagraph"/>
              <w:numPr>
                <w:ilvl w:val="0"/>
                <w:numId w:val="3"/>
              </w:numPr>
              <w:spacing w:after="0"/>
              <w:rPr>
                <w:b/>
                <w:bCs/>
              </w:rPr>
            </w:pPr>
            <w:r>
              <w:rPr>
                <w:b/>
                <w:bCs/>
              </w:rPr>
              <w:t>http://www.hse.gov.uk/Risk/faq.htm</w:t>
            </w:r>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Skills, experience or qualifications</w:t>
            </w:r>
            <w:r>
              <w:t xml:space="preserve"> [what training/experience has this person had to undertake their H&amp;S responsibilities]</w:t>
            </w:r>
          </w:p>
        </w:tc>
      </w:tr>
      <w:tr w:rsidR="00102260" w:rsidRPr="00BB3ACF" w14:paraId="2469A054" w14:textId="77777777" w:rsidTr="00A12117">
        <w:trPr>
          <w:trHeight w:val="519"/>
        </w:trPr>
        <w:tc>
          <w:tcPr>
            <w:tcW w:w="7735" w:type="dxa"/>
            <w:gridSpan w:val="4"/>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07073E3A" w:rsidR="00102260" w:rsidRPr="00BB3ACF" w:rsidRDefault="00EE7A5B" w:rsidP="78AB82E7">
            <w:pPr>
              <w:spacing w:after="0"/>
              <w:rPr>
                <w:sz w:val="18"/>
                <w:szCs w:val="18"/>
              </w:rPr>
            </w:pPr>
            <w:r>
              <w:rPr>
                <w:sz w:val="18"/>
                <w:szCs w:val="18"/>
              </w:rPr>
              <w:t xml:space="preserve">Committee members present for maintenance </w:t>
            </w:r>
          </w:p>
          <w:p w14:paraId="5171B92A" w14:textId="301D9FC2" w:rsidR="7D20C8A7" w:rsidRDefault="7D20C8A7" w:rsidP="7D20C8A7">
            <w:pPr>
              <w:spacing w:after="0"/>
              <w:rPr>
                <w:sz w:val="18"/>
                <w:szCs w:val="18"/>
              </w:rPr>
            </w:pPr>
          </w:p>
          <w:p w14:paraId="4F99A352" w14:textId="26E4D7F9" w:rsidR="7D20C8A7" w:rsidRDefault="7D20C8A7" w:rsidP="7D20C8A7">
            <w:pPr>
              <w:spacing w:after="0"/>
              <w:rPr>
                <w:sz w:val="18"/>
                <w:szCs w:val="18"/>
              </w:rPr>
            </w:pPr>
          </w:p>
          <w:p w14:paraId="3AFEFA86" w14:textId="1D2290F4" w:rsidR="7D20C8A7" w:rsidRDefault="7D20C8A7" w:rsidP="7D20C8A7">
            <w:pPr>
              <w:spacing w:after="0"/>
              <w:rPr>
                <w:sz w:val="18"/>
                <w:szCs w:val="18"/>
              </w:rPr>
            </w:pPr>
          </w:p>
          <w:p w14:paraId="2BDFE83E" w14:textId="39E35EB3"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6A60D3F" w14:textId="66149059" w:rsidR="00102260" w:rsidRDefault="00102260" w:rsidP="4B53A42E">
            <w:pPr>
              <w:spacing w:after="0"/>
              <w:rPr>
                <w:sz w:val="18"/>
                <w:szCs w:val="18"/>
              </w:rPr>
            </w:pPr>
          </w:p>
          <w:p w14:paraId="3DF29FF1" w14:textId="77777777" w:rsidR="00AC7F7F" w:rsidRPr="00BB3ACF" w:rsidRDefault="00AC7F7F" w:rsidP="4B53A42E">
            <w:pPr>
              <w:spacing w:after="0"/>
              <w:rPr>
                <w:sz w:val="18"/>
                <w:szCs w:val="18"/>
              </w:rPr>
            </w:pPr>
          </w:p>
          <w:p w14:paraId="125B4D4A" w14:textId="77777777" w:rsidR="00102260" w:rsidRPr="00BB3ACF" w:rsidRDefault="00102260">
            <w:pPr>
              <w:spacing w:after="0"/>
              <w:rPr>
                <w:sz w:val="18"/>
              </w:rPr>
            </w:pP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76CD1316" w14:textId="7530A41B" w:rsidR="0060203B" w:rsidRPr="00BB3ACF" w:rsidRDefault="00EE7A5B" w:rsidP="4B53A42E">
            <w:pPr>
              <w:spacing w:after="0"/>
              <w:rPr>
                <w:sz w:val="18"/>
                <w:szCs w:val="18"/>
              </w:rPr>
            </w:pPr>
            <w:r>
              <w:rPr>
                <w:sz w:val="18"/>
                <w:szCs w:val="18"/>
              </w:rPr>
              <w:t>Sufficient experience with power tools is needed in order to safely operate them. As such is it encouraged that only experienced members undertake power tool usage. An exception to this would be an experienced member teaching and showing a novice how to safely use a power tool, and will then provide supervision until the novice becomes more experienced with said power tool.</w:t>
            </w:r>
          </w:p>
        </w:tc>
      </w:tr>
      <w:tr w:rsidR="00102260" w:rsidRPr="00BB3ACF" w14:paraId="6AC36674" w14:textId="77777777" w:rsidTr="00A12117">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00A12117">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5E07F405" w14:textId="42B2ED7F" w:rsidR="00102260" w:rsidRPr="00BB3ACF" w:rsidRDefault="00102260" w:rsidP="4B53A42E">
            <w:pPr>
              <w:spacing w:after="0"/>
              <w:rPr>
                <w:sz w:val="18"/>
                <w:szCs w:val="18"/>
              </w:rPr>
            </w:pPr>
          </w:p>
          <w:p w14:paraId="3ACDCB0A" w14:textId="718AD853" w:rsidR="00102260"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7699DFCF" w14:textId="082C0B8D" w:rsidR="00EE7A5B" w:rsidRDefault="00EE7A5B" w:rsidP="4B53A42E">
            <w:pPr>
              <w:spacing w:after="0"/>
              <w:rPr>
                <w:sz w:val="18"/>
                <w:szCs w:val="18"/>
              </w:rPr>
            </w:pPr>
          </w:p>
          <w:p w14:paraId="1CC3E3BC" w14:textId="78F14B4F" w:rsidR="00EE7A5B" w:rsidRDefault="00EE7A5B" w:rsidP="4B53A42E">
            <w:pPr>
              <w:spacing w:after="0"/>
              <w:rPr>
                <w:sz w:val="18"/>
                <w:szCs w:val="18"/>
              </w:rPr>
            </w:pPr>
            <w:r>
              <w:rPr>
                <w:sz w:val="18"/>
                <w:szCs w:val="18"/>
              </w:rPr>
              <w:t xml:space="preserve">Power tools are reviewed prior to their use to ensure that they are safe to use for the maintenance. </w:t>
            </w:r>
          </w:p>
          <w:p w14:paraId="70E45A48" w14:textId="036860A4" w:rsidR="00EE7A5B" w:rsidRDefault="00EE7A5B" w:rsidP="4B53A42E">
            <w:pPr>
              <w:spacing w:after="0"/>
              <w:rPr>
                <w:sz w:val="18"/>
                <w:szCs w:val="18"/>
              </w:rPr>
            </w:pPr>
          </w:p>
          <w:p w14:paraId="56501705" w14:textId="53FF2DAD" w:rsidR="00EE7A5B" w:rsidRDefault="00EE7A5B" w:rsidP="4B53A42E">
            <w:pPr>
              <w:spacing w:after="0"/>
              <w:rPr>
                <w:sz w:val="18"/>
                <w:szCs w:val="18"/>
              </w:rPr>
            </w:pPr>
            <w:r>
              <w:rPr>
                <w:sz w:val="18"/>
                <w:szCs w:val="18"/>
              </w:rPr>
              <w:t xml:space="preserve">Safety information regarding the maintenance to be performed should be relayed by the most experienced committee member present before beginning the maintenance. </w:t>
            </w:r>
          </w:p>
          <w:p w14:paraId="7F881FE8" w14:textId="243D1439" w:rsidR="00EE7A5B" w:rsidRDefault="00EE7A5B" w:rsidP="4B53A42E">
            <w:pPr>
              <w:spacing w:after="0"/>
              <w:rPr>
                <w:sz w:val="18"/>
                <w:szCs w:val="18"/>
              </w:rPr>
            </w:pPr>
          </w:p>
          <w:p w14:paraId="563D9BCF" w14:textId="5C53B8E2" w:rsidR="00EE7A5B" w:rsidRPr="00BB3ACF" w:rsidRDefault="00EE7A5B" w:rsidP="4B53A42E">
            <w:pPr>
              <w:spacing w:after="0"/>
              <w:rPr>
                <w:sz w:val="18"/>
                <w:szCs w:val="18"/>
              </w:rPr>
            </w:pPr>
            <w:r>
              <w:rPr>
                <w:sz w:val="18"/>
                <w:szCs w:val="18"/>
              </w:rPr>
              <w:t>All committee members should observe other committee members during this maintenance to look out for each other’s safety.</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t>[please detail frequency of checks to be done]</w:t>
            </w:r>
          </w:p>
          <w:p w14:paraId="66D9EC96" w14:textId="77777777" w:rsidR="00102260" w:rsidRDefault="78AB82E7" w:rsidP="78AB82E7">
            <w:pPr>
              <w:spacing w:after="0"/>
              <w:rPr>
                <w:rFonts w:eastAsia="Calibri"/>
                <w:sz w:val="18"/>
                <w:szCs w:val="18"/>
              </w:rPr>
            </w:pPr>
            <w:r w:rsidRPr="78AB82E7">
              <w:rPr>
                <w:rFonts w:eastAsia="Calibri"/>
                <w:sz w:val="18"/>
                <w:szCs w:val="18"/>
              </w:rPr>
              <w:t xml:space="preserve"> </w:t>
            </w:r>
          </w:p>
          <w:p w14:paraId="02CDA715" w14:textId="474002F2" w:rsidR="00EE7A5B" w:rsidRPr="00BB3ACF" w:rsidRDefault="00EE7A5B" w:rsidP="78AB82E7">
            <w:pPr>
              <w:spacing w:after="0"/>
              <w:rPr>
                <w:b/>
                <w:bCs/>
                <w:sz w:val="18"/>
                <w:szCs w:val="18"/>
              </w:rPr>
            </w:pPr>
            <w:r>
              <w:rPr>
                <w:b/>
                <w:bCs/>
                <w:sz w:val="18"/>
                <w:szCs w:val="18"/>
              </w:rPr>
              <w:t xml:space="preserve">Checks should be completed prior to any maintenance or loading for trips and should be performed by any committee member present, overseen by kit secretary </w:t>
            </w:r>
            <w:r w:rsidR="00250C97">
              <w:rPr>
                <w:b/>
                <w:bCs/>
                <w:sz w:val="18"/>
                <w:szCs w:val="18"/>
              </w:rPr>
              <w:t>Alex Green</w:t>
            </w:r>
            <w:r>
              <w:rPr>
                <w:b/>
                <w:bCs/>
                <w:sz w:val="18"/>
                <w:szCs w:val="18"/>
              </w:rPr>
              <w:t>.</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00A12117">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E32298C" w14:textId="77777777" w:rsidR="00102260" w:rsidRPr="00BB3ACF" w:rsidRDefault="00102260">
            <w:pPr>
              <w:spacing w:after="0"/>
              <w:rPr>
                <w:sz w:val="18"/>
              </w:rPr>
            </w:pPr>
          </w:p>
        </w:tc>
      </w:tr>
      <w:tr w:rsidR="00102260" w:rsidRPr="00BB3ACF" w14:paraId="0BF76A91" w14:textId="77777777" w:rsidTr="00A12117">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680056EE" w14:textId="519FFB84" w:rsidR="00102260" w:rsidRPr="00460E99" w:rsidRDefault="78AB82E7" w:rsidP="00460E99">
            <w:pPr>
              <w:spacing w:after="0"/>
              <w:rPr>
                <w:b/>
                <w:bCs/>
                <w:sz w:val="18"/>
                <w:szCs w:val="18"/>
              </w:rPr>
            </w:pPr>
            <w:r w:rsidRPr="78AB82E7">
              <w:rPr>
                <w:b/>
                <w:bCs/>
                <w:sz w:val="18"/>
                <w:szCs w:val="18"/>
              </w:rPr>
              <w:t>[Identify areas of your activity which will fall under a different risk assessment. For example, fire risk assessments when using a building will have been covered by the premises operator.]</w:t>
            </w:r>
          </w:p>
        </w:tc>
        <w:tc>
          <w:tcPr>
            <w:tcW w:w="2690" w:type="dxa"/>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7B6108E6" w14:textId="77777777" w:rsidR="00102260" w:rsidRPr="00BB3ACF" w:rsidRDefault="00102260">
            <w:pPr>
              <w:spacing w:after="0"/>
              <w:rPr>
                <w:sz w:val="18"/>
              </w:rPr>
            </w:pPr>
          </w:p>
        </w:tc>
        <w:tc>
          <w:tcPr>
            <w:tcW w:w="3543" w:type="dxa"/>
            <w:gridSpan w:val="2"/>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v:textbox>
                <w10:wrap type="square"/>
              </v:rect>
            </w:pict>
          </mc:Fallback>
        </mc:AlternateContent>
      </w:r>
    </w:p>
    <w:tbl>
      <w:tblPr>
        <w:tblW w:w="16302" w:type="dxa"/>
        <w:tblInd w:w="-1144"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1134"/>
        <w:gridCol w:w="1134"/>
        <w:gridCol w:w="1418"/>
        <w:gridCol w:w="2551"/>
        <w:gridCol w:w="898"/>
        <w:gridCol w:w="803"/>
        <w:gridCol w:w="567"/>
        <w:gridCol w:w="2694"/>
        <w:gridCol w:w="1984"/>
        <w:gridCol w:w="992"/>
        <w:gridCol w:w="851"/>
        <w:gridCol w:w="567"/>
        <w:gridCol w:w="709"/>
      </w:tblGrid>
      <w:tr w:rsidR="004909A3" w:rsidRPr="00E4552B" w14:paraId="3F528E1D" w14:textId="77777777" w:rsidTr="004909A3">
        <w:trPr>
          <w:trHeight w:val="520"/>
        </w:trPr>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2694" w:type="dxa"/>
            <w:vMerge w:val="restart"/>
            <w:tcBorders>
              <w:top w:val="single" w:sz="8" w:space="0" w:color="00000A"/>
              <w:left w:val="single" w:sz="8" w:space="0" w:color="00000A"/>
              <w:right w:val="single" w:sz="8" w:space="0" w:color="00000A"/>
            </w:tcBorders>
            <w:shd w:val="clear" w:color="auto" w:fill="538DD5"/>
            <w:tcMar>
              <w:left w:w="58" w:type="dxa"/>
            </w:tcMar>
          </w:tcPr>
          <w:p w14:paraId="5452EFD9" w14:textId="79240354"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Additional control measure: Proactive/Reactive</w:t>
            </w:r>
          </w:p>
        </w:tc>
        <w:tc>
          <w:tcPr>
            <w:tcW w:w="1984" w:type="dxa"/>
            <w:vMerge w:val="restart"/>
            <w:tcBorders>
              <w:top w:val="single" w:sz="8" w:space="0" w:color="00000A"/>
              <w:left w:val="single" w:sz="8" w:space="0" w:color="00000A"/>
              <w:right w:val="single" w:sz="8" w:space="0" w:color="00000A"/>
            </w:tcBorders>
            <w:shd w:val="clear" w:color="auto" w:fill="538DD5"/>
          </w:tcPr>
          <w:p w14:paraId="23322B1D" w14:textId="2D353890" w:rsidR="004909A3" w:rsidRPr="00460E99" w:rsidRDefault="004909A3" w:rsidP="00E4552B">
            <w:pPr>
              <w:spacing w:after="0" w:line="240" w:lineRule="auto"/>
              <w:rPr>
                <w:rFonts w:asciiTheme="minorHAnsi" w:eastAsiaTheme="minorEastAsia" w:hAnsiTheme="minorHAnsi" w:cstheme="minorBidi"/>
                <w:color w:val="FFFFFF" w:themeColor="background1"/>
                <w:sz w:val="16"/>
                <w:szCs w:val="16"/>
                <w:lang w:eastAsia="en-GB"/>
              </w:rPr>
            </w:pPr>
            <w:r w:rsidRPr="00460E99">
              <w:rPr>
                <w:rFonts w:asciiTheme="minorHAnsi" w:eastAsiaTheme="minorEastAsia" w:hAnsiTheme="minorHAnsi" w:cstheme="minorBidi"/>
                <w:color w:val="FFFFFF" w:themeColor="background1"/>
                <w:sz w:val="16"/>
                <w:szCs w:val="16"/>
                <w:lang w:eastAsia="en-GB"/>
              </w:rPr>
              <w:t>Action by whom?</w:t>
            </w:r>
          </w:p>
        </w:tc>
        <w:tc>
          <w:tcPr>
            <w:tcW w:w="992" w:type="dxa"/>
            <w:tcBorders>
              <w:top w:val="single" w:sz="8" w:space="0" w:color="00000A"/>
              <w:left w:val="single" w:sz="8" w:space="0" w:color="00000A"/>
              <w:bottom w:val="single" w:sz="4" w:space="0" w:color="000000"/>
              <w:right w:val="single" w:sz="8" w:space="0" w:color="00000A"/>
            </w:tcBorders>
            <w:shd w:val="clear" w:color="auto" w:fill="538DD5"/>
            <w:tcMar>
              <w:left w:w="58" w:type="dxa"/>
            </w:tcMar>
          </w:tcPr>
          <w:p w14:paraId="626E639B" w14:textId="44279BDE"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p>
        </w:tc>
        <w:tc>
          <w:tcPr>
            <w:tcW w:w="1418" w:type="dxa"/>
            <w:gridSpan w:val="2"/>
            <w:tcBorders>
              <w:top w:val="single" w:sz="8" w:space="0" w:color="00000A"/>
              <w:left w:val="nil"/>
              <w:bottom w:val="single" w:sz="8" w:space="0" w:color="00000A"/>
              <w:right w:val="single" w:sz="8" w:space="0" w:color="00000A"/>
            </w:tcBorders>
            <w:shd w:val="clear" w:color="auto" w:fill="538DD5"/>
            <w:tcMar>
              <w:left w:w="108" w:type="dxa"/>
            </w:tcMar>
          </w:tcPr>
          <w:p w14:paraId="397B2B86"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709" w:type="dxa"/>
            <w:vMerge w:val="restart"/>
            <w:tcBorders>
              <w:top w:val="single" w:sz="8" w:space="0" w:color="00000A"/>
              <w:left w:val="single" w:sz="8" w:space="0" w:color="00000A"/>
              <w:right w:val="single" w:sz="8" w:space="0" w:color="00000A"/>
            </w:tcBorders>
            <w:shd w:val="clear" w:color="auto" w:fill="8DB4E2"/>
            <w:tcMar>
              <w:left w:w="58" w:type="dxa"/>
            </w:tcMar>
          </w:tcPr>
          <w:p w14:paraId="09654B50" w14:textId="77777777" w:rsidR="004909A3" w:rsidRPr="00BC2945"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4909A3" w:rsidRPr="00E4552B" w14:paraId="11738A7D" w14:textId="77777777" w:rsidTr="00ED6B8F">
        <w:trPr>
          <w:trHeight w:val="375"/>
        </w:trPr>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48FA686F"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557C2AE4"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135D0806"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Borders>
              <w:top w:val="single" w:sz="8" w:space="0" w:color="00000A"/>
              <w:left w:val="single" w:sz="8" w:space="0" w:color="00000A"/>
              <w:bottom w:val="single" w:sz="8" w:space="0" w:color="00000A"/>
              <w:right w:val="single" w:sz="8" w:space="0" w:color="00000A"/>
            </w:tcBorders>
            <w:shd w:val="clear" w:color="auto" w:fill="FFFFFF"/>
            <w:tcMar>
              <w:left w:w="58" w:type="dxa"/>
            </w:tcMar>
          </w:tcPr>
          <w:p w14:paraId="66A1BC41" w14:textId="77777777"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0"/>
              <w:right w:val="single" w:sz="8" w:space="0" w:color="00000A"/>
            </w:tcBorders>
            <w:shd w:val="clear" w:color="auto" w:fill="8DB4E2"/>
            <w:tcMar>
              <w:left w:w="108" w:type="dxa"/>
            </w:tcMar>
          </w:tcPr>
          <w:p w14:paraId="4B808949"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0"/>
              <w:right w:val="single" w:sz="8" w:space="0" w:color="00000A"/>
            </w:tcBorders>
            <w:shd w:val="clear" w:color="auto" w:fill="8DB4E2"/>
            <w:tcMar>
              <w:left w:w="108" w:type="dxa"/>
            </w:tcMar>
          </w:tcPr>
          <w:p w14:paraId="6960C69C"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6ECF8B9D"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694" w:type="dxa"/>
            <w:vMerge/>
            <w:tcBorders>
              <w:left w:val="single" w:sz="8" w:space="0" w:color="00000A"/>
              <w:bottom w:val="single" w:sz="4" w:space="0" w:color="000000"/>
              <w:right w:val="single" w:sz="8" w:space="0" w:color="00000A"/>
            </w:tcBorders>
            <w:shd w:val="clear" w:color="auto" w:fill="FFFFFF" w:themeFill="background1"/>
            <w:tcMar>
              <w:left w:w="58" w:type="dxa"/>
            </w:tcMar>
          </w:tcPr>
          <w:p w14:paraId="78FDEB7D" w14:textId="55961156" w:rsidR="004909A3" w:rsidRPr="00460E99" w:rsidRDefault="004909A3" w:rsidP="00E4552B">
            <w:pPr>
              <w:spacing w:after="0" w:line="240" w:lineRule="auto"/>
              <w:rPr>
                <w:rFonts w:asciiTheme="minorHAnsi" w:eastAsia="Times New Roman" w:hAnsiTheme="minorHAnsi" w:cstheme="minorHAnsi"/>
                <w:iCs/>
                <w:color w:val="auto"/>
                <w:sz w:val="16"/>
                <w:szCs w:val="16"/>
                <w:lang w:eastAsia="en-GB"/>
              </w:rPr>
            </w:pPr>
          </w:p>
        </w:tc>
        <w:tc>
          <w:tcPr>
            <w:tcW w:w="1984" w:type="dxa"/>
            <w:vMerge/>
            <w:tcBorders>
              <w:top w:val="single" w:sz="4" w:space="0" w:color="000000"/>
              <w:left w:val="single" w:sz="8" w:space="0" w:color="00000A"/>
              <w:bottom w:val="single" w:sz="4" w:space="0" w:color="000000"/>
              <w:right w:val="single" w:sz="8" w:space="0" w:color="00000A"/>
            </w:tcBorders>
            <w:shd w:val="clear" w:color="auto" w:fill="FFFFFF" w:themeFill="background1"/>
            <w:tcMar>
              <w:left w:w="58" w:type="dxa"/>
            </w:tcMar>
          </w:tcPr>
          <w:p w14:paraId="55335C32" w14:textId="6548997D" w:rsidR="004909A3" w:rsidRPr="00DB1DFF" w:rsidRDefault="004909A3" w:rsidP="00E4552B">
            <w:pPr>
              <w:spacing w:after="0" w:line="240" w:lineRule="auto"/>
              <w:rPr>
                <w:rFonts w:asciiTheme="minorHAnsi" w:eastAsia="Times New Roman" w:hAnsiTheme="minorHAnsi" w:cstheme="minorHAnsi"/>
                <w:iCs/>
                <w:color w:val="FFFFFF"/>
                <w:sz w:val="16"/>
                <w:szCs w:val="16"/>
                <w:lang w:eastAsia="en-GB"/>
              </w:rPr>
            </w:pPr>
          </w:p>
        </w:tc>
        <w:tc>
          <w:tcPr>
            <w:tcW w:w="992" w:type="dxa"/>
            <w:tcBorders>
              <w:top w:val="single" w:sz="4" w:space="0" w:color="000000"/>
              <w:left w:val="nil"/>
              <w:bottom w:val="single" w:sz="4" w:space="0" w:color="000000"/>
              <w:right w:val="single" w:sz="8" w:space="0" w:color="00000A"/>
            </w:tcBorders>
            <w:shd w:val="clear" w:color="auto" w:fill="8DB4E2"/>
            <w:tcMar>
              <w:left w:w="108" w:type="dxa"/>
            </w:tcMar>
          </w:tcPr>
          <w:p w14:paraId="7E8A0BE0" w14:textId="77777777" w:rsidR="004909A3" w:rsidRPr="00DB1DFF" w:rsidRDefault="004909A3"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1" w:type="dxa"/>
            <w:tcBorders>
              <w:top w:val="nil"/>
              <w:left w:val="nil"/>
              <w:bottom w:val="single" w:sz="4" w:space="0" w:color="000000"/>
              <w:right w:val="single" w:sz="8" w:space="0" w:color="00000A"/>
            </w:tcBorders>
            <w:shd w:val="clear" w:color="auto" w:fill="8DB4E2"/>
            <w:tcMar>
              <w:left w:w="108" w:type="dxa"/>
            </w:tcMar>
          </w:tcPr>
          <w:p w14:paraId="0A485E35"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0"/>
              <w:right w:val="single" w:sz="8" w:space="0" w:color="00000A"/>
            </w:tcBorders>
            <w:shd w:val="clear" w:color="auto" w:fill="8DB4E2"/>
            <w:tcMar>
              <w:left w:w="108" w:type="dxa"/>
            </w:tcMar>
          </w:tcPr>
          <w:p w14:paraId="20ABA1EE" w14:textId="77777777" w:rsidR="004909A3" w:rsidRPr="00E4552B" w:rsidRDefault="004909A3"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709" w:type="dxa"/>
            <w:vMerge/>
            <w:tcBorders>
              <w:left w:val="single" w:sz="8" w:space="0" w:color="00000A"/>
              <w:bottom w:val="single" w:sz="8" w:space="0" w:color="00000A"/>
              <w:right w:val="single" w:sz="8" w:space="0" w:color="00000A"/>
            </w:tcBorders>
            <w:shd w:val="clear" w:color="auto" w:fill="FFFFFF" w:themeFill="background1"/>
            <w:tcMar>
              <w:left w:w="58" w:type="dxa"/>
            </w:tcMar>
          </w:tcPr>
          <w:p w14:paraId="3936928D" w14:textId="77777777" w:rsidR="004909A3" w:rsidRPr="00E4552B" w:rsidRDefault="004909A3" w:rsidP="00E4552B">
            <w:pPr>
              <w:spacing w:after="0" w:line="240" w:lineRule="auto"/>
              <w:rPr>
                <w:rFonts w:asciiTheme="minorHAnsi" w:eastAsia="Times New Roman" w:hAnsiTheme="minorHAnsi" w:cstheme="minorHAnsi"/>
                <w:i/>
                <w:iCs/>
                <w:color w:val="FFFFFF"/>
                <w:sz w:val="16"/>
                <w:szCs w:val="16"/>
                <w:lang w:eastAsia="en-GB"/>
              </w:rPr>
            </w:pPr>
          </w:p>
        </w:tc>
      </w:tr>
      <w:tr w:rsidR="00AC7F7F" w:rsidRPr="00E4552B" w14:paraId="22C7C102" w14:textId="77777777" w:rsidTr="00ED6B8F">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1D1E8468" w14:textId="5B608DC5" w:rsidR="00AC7F7F" w:rsidRDefault="00AC7F7F" w:rsidP="00AC7F7F">
            <w:pPr>
              <w:spacing w:after="0" w:line="240" w:lineRule="auto"/>
              <w:rPr>
                <w:rFonts w:asciiTheme="minorHAnsi" w:eastAsia="Times New Roman" w:hAnsiTheme="minorHAnsi" w:cstheme="minorHAnsi"/>
                <w:iCs/>
                <w:color w:val="000000" w:themeColor="text1"/>
                <w:sz w:val="16"/>
                <w:szCs w:val="16"/>
                <w:lang w:eastAsia="en-GB"/>
              </w:rPr>
            </w:pPr>
            <w:r>
              <w:rPr>
                <w:rFonts w:cstheme="minorHAnsi"/>
                <w:sz w:val="16"/>
                <w:szCs w:val="16"/>
              </w:rPr>
              <w:t>General</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36CA5CA7" w14:textId="222BA72B" w:rsidR="00AC7F7F" w:rsidRDefault="00AC7F7F" w:rsidP="00AC7F7F">
            <w:pPr>
              <w:spacing w:after="0" w:line="240" w:lineRule="auto"/>
              <w:rPr>
                <w:rFonts w:asciiTheme="minorHAnsi" w:eastAsia="Times New Roman" w:hAnsiTheme="minorHAnsi" w:cstheme="minorHAnsi"/>
                <w:iCs/>
                <w:color w:val="000000" w:themeColor="text1"/>
                <w:sz w:val="16"/>
                <w:szCs w:val="16"/>
                <w:lang w:eastAsia="en-GB"/>
              </w:rPr>
            </w:pPr>
            <w:r>
              <w:rPr>
                <w:rFonts w:cstheme="minorHAnsi"/>
                <w:sz w:val="16"/>
                <w:szCs w:val="16"/>
              </w:rPr>
              <w:t>Transmission/ Contraction of Covid 19</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C514877" w14:textId="7FB8E5F9" w:rsidR="00AC7F7F" w:rsidRDefault="00AC7F7F" w:rsidP="00AC7F7F">
            <w:pPr>
              <w:spacing w:after="0" w:line="240" w:lineRule="auto"/>
              <w:rPr>
                <w:rFonts w:asciiTheme="minorHAnsi" w:eastAsia="Times New Roman" w:hAnsiTheme="minorHAnsi" w:cstheme="minorHAnsi"/>
                <w:iCs/>
                <w:color w:val="000000" w:themeColor="text1"/>
                <w:sz w:val="16"/>
                <w:szCs w:val="16"/>
                <w:lang w:eastAsia="en-GB"/>
              </w:rPr>
            </w:pPr>
            <w:r>
              <w:rPr>
                <w:rFonts w:cstheme="minorHAnsi"/>
                <w:sz w:val="16"/>
                <w:szCs w:val="16"/>
              </w:rPr>
              <w:t>Everyone</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555AFE2" w14:textId="6694A2D0" w:rsidR="00AC7F7F" w:rsidRDefault="00AC7F7F" w:rsidP="00AC7F7F">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cstheme="minorHAnsi"/>
                <w:sz w:val="16"/>
                <w:szCs w:val="16"/>
              </w:rPr>
              <w:t xml:space="preserve">All members </w:t>
            </w:r>
            <w:r w:rsidR="00BD0836">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634942D9" w14:textId="0007CFC2" w:rsidR="00AC7F7F" w:rsidRDefault="00AC7F7F" w:rsidP="00AC7F7F">
            <w:pPr>
              <w:spacing w:after="0" w:line="240" w:lineRule="auto"/>
              <w:rPr>
                <w:rFonts w:asciiTheme="minorHAnsi" w:eastAsiaTheme="minorEastAsia" w:hAnsiTheme="minorHAnsi" w:cstheme="minorBidi"/>
                <w:color w:val="000000" w:themeColor="text1"/>
                <w:sz w:val="16"/>
                <w:szCs w:val="16"/>
                <w:lang w:eastAsia="en-GB"/>
              </w:rPr>
            </w:pPr>
            <w:r>
              <w:rPr>
                <w:rFonts w:eastAsia="Calibri,Times New Roman" w:cstheme="minorHAnsi"/>
                <w:color w:val="000000" w:themeColor="text1"/>
                <w:sz w:val="16"/>
                <w:szCs w:val="16"/>
                <w:lang w:eastAsia="en-GB"/>
              </w:rPr>
              <w:t>3</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0C965F31" w14:textId="46B9E2C6" w:rsidR="00AC7F7F" w:rsidRDefault="00AC7F7F" w:rsidP="00AC7F7F">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5</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7FCEA4E7" w14:textId="5B618783" w:rsidR="00AC7F7F" w:rsidRPr="00AC7F7F" w:rsidRDefault="00AC7F7F" w:rsidP="00AC7F7F">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20</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64F87EB0" w14:textId="77777777" w:rsidR="00AC7F7F" w:rsidRPr="00BD0836" w:rsidRDefault="00AC7F7F" w:rsidP="00BD0836">
            <w:pPr>
              <w:pStyle w:val="ListParagraph"/>
              <w:numPr>
                <w:ilvl w:val="0"/>
                <w:numId w:val="14"/>
              </w:numPr>
              <w:suppressAutoHyphens w:val="0"/>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Testing will be encouraged before attending sessions, and to not attend sessions if they have symptoms of covid 19 or test positive. If they test positive, we will ask them to inform anyone who they came into contact with in the 2 days before they’ve tested positive.</w:t>
            </w:r>
          </w:p>
          <w:p w14:paraId="025B4CCA" w14:textId="51B4B2F4" w:rsidR="00AC7F7F" w:rsidRPr="00BD0836" w:rsidRDefault="00AC7F7F" w:rsidP="00BD0836">
            <w:pPr>
              <w:pStyle w:val="ListParagraph"/>
              <w:numPr>
                <w:ilvl w:val="0"/>
                <w:numId w:val="14"/>
              </w:numPr>
              <w:suppressAutoHyphens w:val="0"/>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Members will be encouraged to wash hands regularly to minimise risk of transmission</w:t>
            </w:r>
          </w:p>
          <w:p w14:paraId="35992469" w14:textId="039DA44C" w:rsidR="00AC7F7F" w:rsidRPr="00BD0836" w:rsidRDefault="00AC7F7F" w:rsidP="00BD0836">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sidRPr="00BD0836">
              <w:rPr>
                <w:rFonts w:eastAsiaTheme="minorEastAsia"/>
                <w:color w:val="000000" w:themeColor="text1"/>
                <w:sz w:val="16"/>
                <w:szCs w:val="16"/>
                <w:lang w:eastAsia="en-GB"/>
              </w:rPr>
              <w:t>All club kit including, paddles, spray decks and boats will be washed between users to minimise the risk of transmission</w:t>
            </w: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4F169899" w14:textId="26154E16" w:rsidR="00AC7F7F" w:rsidRDefault="00AC7F7F" w:rsidP="00AC7F7F">
            <w:pPr>
              <w:spacing w:after="0" w:line="240" w:lineRule="auto"/>
              <w:rPr>
                <w:rFonts w:asciiTheme="minorHAnsi" w:eastAsia="Times New Roman" w:hAnsiTheme="minorHAnsi" w:cstheme="minorHAnsi"/>
                <w:iCs/>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30E91839" w14:textId="47988528" w:rsidR="00AC7F7F" w:rsidRDefault="00AC7F7F" w:rsidP="00AC7F7F">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8" w:space="0" w:color="00000A"/>
            </w:tcBorders>
            <w:shd w:val="clear" w:color="auto" w:fill="auto"/>
            <w:tcMar>
              <w:left w:w="108" w:type="dxa"/>
            </w:tcMar>
          </w:tcPr>
          <w:p w14:paraId="79531919" w14:textId="41391DD5" w:rsidR="00AC7F7F" w:rsidRDefault="00AC7F7F" w:rsidP="00AC7F7F">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5</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03F6BE7C" w14:textId="21C6784E" w:rsidR="00AC7F7F" w:rsidRDefault="00AC7F7F" w:rsidP="00AC7F7F">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10</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BF64BD4" w14:textId="1C422615" w:rsidR="00AC7F7F" w:rsidRPr="0022761B" w:rsidRDefault="00AC7F7F" w:rsidP="00AC7F7F">
            <w:pPr>
              <w:spacing w:after="0" w:line="240" w:lineRule="auto"/>
              <w:rPr>
                <w:rFonts w:asciiTheme="minorHAnsi" w:eastAsia="Times New Roman" w:hAnsiTheme="minorHAnsi" w:cstheme="minorHAnsi"/>
                <w:i/>
                <w:iCs/>
                <w:color w:val="000000" w:themeColor="text1"/>
                <w:sz w:val="16"/>
                <w:szCs w:val="16"/>
                <w:lang w:eastAsia="en-GB"/>
              </w:rPr>
            </w:pPr>
          </w:p>
        </w:tc>
      </w:tr>
      <w:tr w:rsidR="004909A3" w:rsidRPr="00E4552B" w14:paraId="12561077" w14:textId="77777777" w:rsidTr="00ED6B8F">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DB0AEE7" w14:textId="0E32AF09" w:rsid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Use of power tools</w:t>
            </w:r>
          </w:p>
          <w:p w14:paraId="21D6F267" w14:textId="276E4DF0" w:rsidR="004909A3"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E1E1642" w14:textId="76F44D11"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Sharp tools, blunt trauma, serious cuts, burns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348CEB2" w14:textId="022E5AF6" w:rsidR="0022761B" w:rsidRPr="0022761B"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Person using the tools or nearby committee members performing other maintenance. Self injury with the tool or accidental injury to others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BC41C3C" w14:textId="77777777" w:rsidR="0022761B"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safety guards on tools are used if present</w:t>
            </w:r>
          </w:p>
          <w:p w14:paraId="4E5424EA"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Nearby persons are aware of the tool prior to it being used, so no accidental movement could cause injury with the tool</w:t>
            </w:r>
          </w:p>
          <w:p w14:paraId="46B70A05" w14:textId="77777777" w:rsid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4B2E7202" w14:textId="24D50A8F" w:rsidR="004909A3" w:rsidRPr="004909A3" w:rsidRDefault="004909A3" w:rsidP="004909A3">
            <w:pPr>
              <w:pStyle w:val="ListParagraph"/>
              <w:numPr>
                <w:ilvl w:val="0"/>
                <w:numId w:val="14"/>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When using power tools such as saw</w:t>
            </w:r>
            <w:r w:rsidR="00ED6B8F">
              <w:rPr>
                <w:rFonts w:asciiTheme="minorHAnsi" w:eastAsia="Times New Roman" w:hAnsiTheme="minorHAnsi" w:cstheme="minorHAnsi"/>
                <w:iCs/>
                <w:color w:val="000000" w:themeColor="text1"/>
                <w:sz w:val="16"/>
                <w:szCs w:val="16"/>
                <w:lang w:eastAsia="en-GB"/>
              </w:rPr>
              <w:t>s</w:t>
            </w:r>
            <w:r>
              <w:rPr>
                <w:rFonts w:asciiTheme="minorHAnsi" w:eastAsia="Times New Roman" w:hAnsiTheme="minorHAnsi" w:cstheme="minorHAnsi"/>
                <w:iCs/>
                <w:color w:val="000000" w:themeColor="text1"/>
                <w:sz w:val="16"/>
                <w:szCs w:val="16"/>
                <w:lang w:eastAsia="en-GB"/>
              </w:rPr>
              <w:t xml:space="preserve"> or drills make sure personal safety equipment such as gloves and goggles are used to prevent injuries.</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4FD88D91" w14:textId="7B2CCA4D"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3</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1BBE185" w14:textId="0059DDA5"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FC79018" w14:textId="0505D64B"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12</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5EFCE53" w14:textId="77777777" w:rsidR="0022761B" w:rsidRPr="0022761B" w:rsidRDefault="0022761B" w:rsidP="00E4552B">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5BCB0551" w14:textId="645E5D5C" w:rsidR="0022761B"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250C97">
              <w:rPr>
                <w:rFonts w:asciiTheme="minorHAnsi" w:eastAsia="Times New Roman" w:hAnsiTheme="minorHAnsi" w:cstheme="minorHAnsi"/>
                <w:iCs/>
                <w:color w:val="000000" w:themeColor="text1"/>
                <w:sz w:val="16"/>
                <w:szCs w:val="16"/>
                <w:lang w:eastAsia="en-GB"/>
              </w:rPr>
              <w:t>Katherine Scott-Taylor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697D2FD" w14:textId="4BFAB166" w:rsidR="0022761B" w:rsidRPr="0022761B" w:rsidRDefault="004909A3"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8" w:space="0" w:color="00000A"/>
            </w:tcBorders>
            <w:shd w:val="clear" w:color="auto" w:fill="auto"/>
            <w:tcMar>
              <w:left w:w="108" w:type="dxa"/>
            </w:tcMar>
          </w:tcPr>
          <w:p w14:paraId="5985F03A" w14:textId="6B748441"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025DC361" w14:textId="70029ABC" w:rsidR="0022761B" w:rsidRPr="004909A3" w:rsidRDefault="004909A3" w:rsidP="78AB82E7">
            <w:pPr>
              <w:spacing w:after="0" w:line="240" w:lineRule="auto"/>
              <w:rPr>
                <w:rFonts w:asciiTheme="minorHAnsi" w:eastAsiaTheme="minorEastAsia" w:hAnsiTheme="minorHAnsi" w:cstheme="minorBidi"/>
                <w:iCs/>
                <w:color w:val="000000" w:themeColor="text1"/>
                <w:sz w:val="16"/>
                <w:szCs w:val="16"/>
                <w:lang w:eastAsia="en-GB"/>
              </w:rPr>
            </w:pPr>
            <w:r>
              <w:rPr>
                <w:rFonts w:asciiTheme="minorHAnsi" w:eastAsiaTheme="minorEastAsia" w:hAnsiTheme="minorHAnsi" w:cstheme="minorBid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621D1FB3" w14:textId="77777777" w:rsidR="0022761B" w:rsidRPr="0022761B" w:rsidRDefault="0022761B"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4909A3" w:rsidRPr="00E4552B" w14:paraId="239EE46D"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15B3262E" w14:textId="780DACD2"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lastRenderedPageBreak/>
              <w:t>Plastic welding</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36963F55"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Melted plastic</w:t>
            </w:r>
          </w:p>
          <w:p w14:paraId="05F95EA3" w14:textId="77777777" w:rsidR="004909A3" w:rsidRDefault="004909A3" w:rsidP="00E4552B">
            <w:pPr>
              <w:spacing w:after="0" w:line="240" w:lineRule="auto"/>
              <w:rPr>
                <w:rFonts w:asciiTheme="minorHAnsi" w:eastAsia="Times New Roman" w:hAnsiTheme="minorHAnsi" w:cstheme="minorHAnsi"/>
                <w:iCs/>
                <w:color w:val="000000" w:themeColor="text1"/>
                <w:sz w:val="16"/>
                <w:szCs w:val="16"/>
                <w:lang w:eastAsia="en-GB"/>
              </w:rPr>
            </w:pPr>
          </w:p>
          <w:p w14:paraId="14CC72A1" w14:textId="59568B80" w:rsidR="004909A3"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Sanding tools (Dremel)</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AEDE82" w14:textId="77777777" w:rsidR="004909A3"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Person welding could be seriously burnt by melted plastic or the lighter used to melt the plastic.</w:t>
            </w:r>
          </w:p>
          <w:p w14:paraId="20E4DB7F" w14:textId="77777777" w:rsidR="00ED6B8F" w:rsidRDefault="00ED6B8F" w:rsidP="00E4552B">
            <w:pPr>
              <w:spacing w:after="0" w:line="240" w:lineRule="auto"/>
              <w:rPr>
                <w:rFonts w:asciiTheme="minorHAnsi" w:eastAsia="Times New Roman" w:hAnsiTheme="minorHAnsi" w:cstheme="minorHAnsi"/>
                <w:iCs/>
                <w:color w:val="000000" w:themeColor="text1"/>
                <w:sz w:val="16"/>
                <w:szCs w:val="16"/>
                <w:lang w:eastAsia="en-GB"/>
              </w:rPr>
            </w:pPr>
          </w:p>
          <w:p w14:paraId="02563BA5" w14:textId="68D7264A" w:rsidR="00ED6B8F" w:rsidRPr="0022761B" w:rsidRDefault="00ED6B8F"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Abrasive cuts and bruised could occur from inappropriate Dremel use </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72CDC83" w14:textId="77777777" w:rsidR="004909A3" w:rsidRDefault="00ED6B8F"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Advise committee members to wear protective equipment such as goggles and gloves when welding to protect from burns or particulate from sanding</w:t>
            </w:r>
          </w:p>
          <w:p w14:paraId="7A0BADFA" w14:textId="77777777" w:rsidR="00ED6B8F"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14:paraId="36905ED1"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Committee members either welding or using sanding and cutting tools are aware of the risk these tasks presents, or are made aware</w:t>
            </w:r>
          </w:p>
          <w:p w14:paraId="413AE269" w14:textId="4FF119CE"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Only experienced committee members should attempt to perform a weld to avoid injuries from inexperience</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0B0CBC34" w14:textId="008AB161"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029CCA25" w14:textId="53DC27D4"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4</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5403AA35" w14:textId="3FF0DA7D"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8</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2BA59903" w14:textId="42137C0C" w:rsidR="004909A3"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Safety kits contain burn sachets that can be used in the event of a plastic burn, ensure that the burn is ran under cold running water for 10 minutes.</w:t>
            </w: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0AEBC5D6" w14:textId="3881FB92" w:rsidR="004909A3" w:rsidRPr="0022761B" w:rsidRDefault="00C87C3A" w:rsidP="00E4552B">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250C97">
              <w:rPr>
                <w:rFonts w:asciiTheme="minorHAnsi" w:eastAsia="Times New Roman" w:hAnsiTheme="minorHAnsi" w:cstheme="minorHAnsi"/>
                <w:iCs/>
                <w:color w:val="000000" w:themeColor="text1"/>
                <w:sz w:val="16"/>
                <w:szCs w:val="16"/>
                <w:lang w:eastAsia="en-GB"/>
              </w:rPr>
              <w:t>Katherine Scott-Taylor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121149A2" w14:textId="15FACB86" w:rsidR="004909A3" w:rsidRPr="0022761B" w:rsidRDefault="00733D11"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3C4289BE" w14:textId="515E8C8D"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4</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5FAB1936" w14:textId="3342D1E5" w:rsidR="004909A3" w:rsidRPr="0022761B" w:rsidRDefault="00733D11" w:rsidP="78AB82E7">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8</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1F308A1" w14:textId="77777777" w:rsidR="004909A3" w:rsidRPr="0022761B" w:rsidRDefault="004909A3" w:rsidP="00E4552B">
            <w:pPr>
              <w:spacing w:after="0" w:line="240" w:lineRule="auto"/>
              <w:rPr>
                <w:rFonts w:asciiTheme="minorHAnsi" w:eastAsia="Times New Roman" w:hAnsiTheme="minorHAnsi" w:cstheme="minorHAnsi"/>
                <w:i/>
                <w:iCs/>
                <w:color w:val="000000" w:themeColor="text1"/>
                <w:sz w:val="16"/>
                <w:szCs w:val="16"/>
                <w:lang w:eastAsia="en-GB"/>
              </w:rPr>
            </w:pPr>
          </w:p>
        </w:tc>
      </w:tr>
      <w:tr w:rsidR="00733D11" w:rsidRPr="00E4552B" w14:paraId="08448FB3" w14:textId="77777777" w:rsidTr="004909A3">
        <w:trPr>
          <w:trHeight w:val="375"/>
        </w:trPr>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B06E5F2" w14:textId="6BFE9A52" w:rsidR="00733D11"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Transporting boats, lifting and handling boats and fixing boats for transport</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42B04247" w14:textId="0412562E"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Improper lifting technique, unsecure boats that could fall and injure people nearby. Trapping in rachet straps.</w:t>
            </w:r>
          </w:p>
        </w:tc>
        <w:tc>
          <w:tcPr>
            <w:tcW w:w="1418"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7EEB7950" w14:textId="4CFF37B6"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Dislocations, back injuries from improper lifting technique, torn muscles, bruising, blunt trauma from falling kayaks. Fingers getting caught in rachet straps</w:t>
            </w:r>
          </w:p>
        </w:tc>
        <w:tc>
          <w:tcPr>
            <w:tcW w:w="2551"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2E16EAB3" w14:textId="77777777"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Committee members are encouraged to lift kayaks with two people when loading to spread the strain between them</w:t>
            </w:r>
          </w:p>
          <w:p w14:paraId="1F851DCC" w14:textId="2B8909F5"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Ensure all kayaks are secure prior to transport, if on a roof rack make sure rachet straps are tightened securely and away from other members to avoid fingers becoming snagged or trapped in the winch mechanism.</w:t>
            </w:r>
          </w:p>
          <w:p w14:paraId="434FBDB7" w14:textId="5987D58C" w:rsid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Kayaks must be securely strapped onto roof racks to avoid them falling off mid transport and causing injury to the car or other cars on the road.</w:t>
            </w:r>
          </w:p>
          <w:p w14:paraId="2A9A0094" w14:textId="03CF32CC" w:rsidR="00733D11" w:rsidRPr="00733D11" w:rsidRDefault="00733D11" w:rsidP="00733D11">
            <w:pPr>
              <w:pStyle w:val="ListParagraph"/>
              <w:numPr>
                <w:ilvl w:val="0"/>
                <w:numId w:val="15"/>
              </w:num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lastRenderedPageBreak/>
              <w:t xml:space="preserve">If kayaks are transported in a van ensure that there is sufficient packing to stop kayaks from moving inside the van during transport, to avoid damage to kayaks whilst in transit. </w:t>
            </w:r>
          </w:p>
        </w:tc>
        <w:tc>
          <w:tcPr>
            <w:tcW w:w="898" w:type="dxa"/>
            <w:tcBorders>
              <w:top w:val="single" w:sz="4" w:space="0" w:color="000000"/>
              <w:left w:val="nil"/>
              <w:bottom w:val="single" w:sz="4" w:space="0" w:color="000000"/>
              <w:right w:val="single" w:sz="8" w:space="0" w:color="00000A"/>
            </w:tcBorders>
            <w:shd w:val="clear" w:color="auto" w:fill="auto"/>
            <w:tcMar>
              <w:left w:w="108" w:type="dxa"/>
            </w:tcMar>
          </w:tcPr>
          <w:p w14:paraId="7114F3D2" w14:textId="4B183446"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lastRenderedPageBreak/>
              <w:t>2</w:t>
            </w:r>
          </w:p>
        </w:tc>
        <w:tc>
          <w:tcPr>
            <w:tcW w:w="803" w:type="dxa"/>
            <w:tcBorders>
              <w:top w:val="single" w:sz="4" w:space="0" w:color="000000"/>
              <w:left w:val="nil"/>
              <w:bottom w:val="single" w:sz="4" w:space="0" w:color="000000"/>
              <w:right w:val="single" w:sz="8" w:space="0" w:color="00000A"/>
            </w:tcBorders>
            <w:shd w:val="clear" w:color="auto" w:fill="auto"/>
            <w:tcMar>
              <w:left w:w="108" w:type="dxa"/>
            </w:tcMar>
          </w:tcPr>
          <w:p w14:paraId="4BDAB91F" w14:textId="7A9A4827"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5</w:t>
            </w:r>
          </w:p>
        </w:tc>
        <w:tc>
          <w:tcPr>
            <w:tcW w:w="567" w:type="dxa"/>
            <w:tcBorders>
              <w:top w:val="single" w:sz="4" w:space="0" w:color="000000"/>
              <w:left w:val="nil"/>
              <w:bottom w:val="single" w:sz="4" w:space="0" w:color="000000"/>
              <w:right w:val="single" w:sz="8" w:space="0" w:color="00000A"/>
            </w:tcBorders>
            <w:shd w:val="clear" w:color="auto" w:fill="auto"/>
            <w:tcMar>
              <w:left w:w="108" w:type="dxa"/>
            </w:tcMar>
          </w:tcPr>
          <w:p w14:paraId="20FCC197" w14:textId="19D4FC48"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10</w:t>
            </w:r>
          </w:p>
        </w:tc>
        <w:tc>
          <w:tcPr>
            <w:tcW w:w="269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1B9B83D7" w14:textId="77777777"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p>
        </w:tc>
        <w:tc>
          <w:tcPr>
            <w:tcW w:w="1984" w:type="dxa"/>
            <w:tcBorders>
              <w:top w:val="single" w:sz="4" w:space="0" w:color="000000"/>
              <w:left w:val="single" w:sz="8" w:space="0" w:color="00000A"/>
              <w:bottom w:val="single" w:sz="4" w:space="0" w:color="000000"/>
              <w:right w:val="single" w:sz="8" w:space="0" w:color="00000A"/>
            </w:tcBorders>
            <w:shd w:val="clear" w:color="auto" w:fill="auto"/>
            <w:tcMar>
              <w:left w:w="58" w:type="dxa"/>
            </w:tcMar>
          </w:tcPr>
          <w:p w14:paraId="381D9B9C" w14:textId="139E8446" w:rsidR="00733D11" w:rsidRPr="0022761B" w:rsidRDefault="00733D11" w:rsidP="00733D11">
            <w:pPr>
              <w:spacing w:after="0" w:line="240" w:lineRule="auto"/>
              <w:rPr>
                <w:rFonts w:asciiTheme="minorHAnsi" w:eastAsia="Times New Roman" w:hAnsiTheme="minorHAnsi" w:cstheme="minorHAnsi"/>
                <w:iCs/>
                <w:color w:val="000000" w:themeColor="text1"/>
                <w:sz w:val="16"/>
                <w:szCs w:val="16"/>
                <w:lang w:eastAsia="en-GB"/>
              </w:rPr>
            </w:pPr>
            <w:r>
              <w:rPr>
                <w:rFonts w:asciiTheme="minorHAnsi" w:eastAsia="Times New Roman" w:hAnsiTheme="minorHAnsi" w:cstheme="minorHAnsi"/>
                <w:iCs/>
                <w:color w:val="000000" w:themeColor="text1"/>
                <w:sz w:val="16"/>
                <w:szCs w:val="16"/>
                <w:lang w:eastAsia="en-GB"/>
              </w:rPr>
              <w:t xml:space="preserve">All committee members present for the trip should oversee other committee members and ensure all safety precautions are taken. Overseen by safety secretary </w:t>
            </w:r>
            <w:r w:rsidR="00250C97">
              <w:rPr>
                <w:rFonts w:asciiTheme="minorHAnsi" w:eastAsia="Times New Roman" w:hAnsiTheme="minorHAnsi" w:cstheme="minorHAnsi"/>
                <w:iCs/>
                <w:color w:val="000000" w:themeColor="text1"/>
                <w:sz w:val="16"/>
                <w:szCs w:val="16"/>
                <w:lang w:eastAsia="en-GB"/>
              </w:rPr>
              <w:t>Katherine Scott-Taylor</w:t>
            </w:r>
          </w:p>
        </w:tc>
        <w:tc>
          <w:tcPr>
            <w:tcW w:w="992" w:type="dxa"/>
            <w:tcBorders>
              <w:top w:val="single" w:sz="4" w:space="0" w:color="000000"/>
              <w:left w:val="nil"/>
              <w:bottom w:val="single" w:sz="4" w:space="0" w:color="000000"/>
              <w:right w:val="single" w:sz="8" w:space="0" w:color="00000A"/>
            </w:tcBorders>
            <w:shd w:val="clear" w:color="auto" w:fill="auto"/>
            <w:tcMar>
              <w:left w:w="108" w:type="dxa"/>
            </w:tcMar>
          </w:tcPr>
          <w:p w14:paraId="62E7749B" w14:textId="10E743E0" w:rsidR="00733D11" w:rsidRPr="0022761B" w:rsidRDefault="00733D11" w:rsidP="00733D11">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0"/>
              <w:left w:val="nil"/>
              <w:bottom w:val="single" w:sz="4" w:space="0" w:color="000000"/>
              <w:right w:val="single" w:sz="4" w:space="0" w:color="000000"/>
            </w:tcBorders>
            <w:shd w:val="clear" w:color="auto" w:fill="auto"/>
            <w:tcMar>
              <w:left w:w="108" w:type="dxa"/>
            </w:tcMar>
          </w:tcPr>
          <w:p w14:paraId="64713C57" w14:textId="1323A54B"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5</w:t>
            </w:r>
          </w:p>
        </w:tc>
        <w:tc>
          <w:tcPr>
            <w:tcW w:w="567" w:type="dxa"/>
            <w:tcBorders>
              <w:top w:val="single" w:sz="4" w:space="0" w:color="000000"/>
              <w:left w:val="single" w:sz="4" w:space="0" w:color="000000"/>
              <w:bottom w:val="single" w:sz="4" w:space="0" w:color="000000"/>
              <w:right w:val="single" w:sz="8" w:space="0" w:color="00000A"/>
            </w:tcBorders>
            <w:shd w:val="clear" w:color="auto" w:fill="auto"/>
            <w:tcMar>
              <w:left w:w="108" w:type="dxa"/>
            </w:tcMar>
          </w:tcPr>
          <w:p w14:paraId="6724D43B" w14:textId="7727FB42" w:rsidR="00733D11" w:rsidRPr="0022761B" w:rsidRDefault="00733D11" w:rsidP="00733D11">
            <w:pPr>
              <w:spacing w:after="0" w:line="240" w:lineRule="auto"/>
              <w:rPr>
                <w:rFonts w:asciiTheme="minorHAnsi" w:eastAsiaTheme="minorEastAsia" w:hAnsiTheme="minorHAnsi" w:cstheme="minorBidi"/>
                <w:i/>
                <w:iCs/>
                <w:color w:val="000000" w:themeColor="text1"/>
                <w:sz w:val="16"/>
                <w:szCs w:val="16"/>
                <w:lang w:eastAsia="en-GB"/>
              </w:rPr>
            </w:pPr>
            <w:r>
              <w:rPr>
                <w:rFonts w:asciiTheme="minorHAnsi" w:eastAsiaTheme="minorEastAsia" w:hAnsiTheme="minorHAnsi" w:cstheme="minorBidi"/>
                <w:i/>
                <w:iCs/>
                <w:color w:val="000000" w:themeColor="text1"/>
                <w:sz w:val="16"/>
                <w:szCs w:val="16"/>
                <w:lang w:eastAsia="en-GB"/>
              </w:rPr>
              <w:t>10</w:t>
            </w:r>
          </w:p>
        </w:tc>
        <w:tc>
          <w:tcPr>
            <w:tcW w:w="709"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14:paraId="0AEEDA97" w14:textId="77777777" w:rsidR="00733D11" w:rsidRPr="0022761B" w:rsidRDefault="00733D11" w:rsidP="00733D11">
            <w:pPr>
              <w:spacing w:after="0" w:line="240" w:lineRule="auto"/>
              <w:rPr>
                <w:rFonts w:asciiTheme="minorHAnsi" w:eastAsia="Times New Roman" w:hAnsiTheme="minorHAnsi" w:cstheme="minorHAnsi"/>
                <w:i/>
                <w:iCs/>
                <w:color w:val="000000" w:themeColor="text1"/>
                <w:sz w:val="16"/>
                <w:szCs w:val="16"/>
                <w:lang w:eastAsia="en-GB"/>
              </w:rPr>
            </w:pPr>
          </w:p>
        </w:tc>
      </w:tr>
    </w:tbl>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68"/>
        <w:gridCol w:w="3481"/>
        <w:gridCol w:w="63"/>
        <w:gridCol w:w="6848"/>
      </w:tblGrid>
      <w:tr w:rsidR="00102260" w14:paraId="134D1ACB" w14:textId="77777777" w:rsidTr="78AB82E7">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102260" w14:paraId="4ABEA801"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5C67D5FB" w14:textId="77777777" w:rsidR="00102260" w:rsidRPr="00665D03" w:rsidRDefault="78AB82E7" w:rsidP="78AB82E7">
            <w:pPr>
              <w:spacing w:after="0"/>
              <w:rPr>
                <w:b/>
                <w:bCs/>
                <w:sz w:val="20"/>
                <w:szCs w:val="20"/>
                <w:lang w:val="fr-FR"/>
              </w:rPr>
            </w:pPr>
            <w:r w:rsidRPr="00665D03">
              <w:rPr>
                <w:b/>
                <w:bCs/>
                <w:sz w:val="20"/>
                <w:szCs w:val="20"/>
                <w:lang w:val="fr-FR"/>
              </w:rPr>
              <w:t>Responsible person (SA/DM):</w:t>
            </w:r>
          </w:p>
          <w:p w14:paraId="25E92158" w14:textId="0C5E6F5B" w:rsidR="00492F25" w:rsidRPr="00665D03" w:rsidRDefault="00342B85" w:rsidP="78AB82E7">
            <w:pPr>
              <w:spacing w:after="0"/>
              <w:rPr>
                <w:b/>
                <w:bCs/>
                <w:sz w:val="20"/>
                <w:szCs w:val="20"/>
                <w:lang w:val="fr-FR"/>
              </w:rPr>
            </w:pPr>
            <w:r w:rsidRPr="00665D03">
              <w:rPr>
                <w:b/>
                <w:bCs/>
                <w:sz w:val="20"/>
                <w:szCs w:val="20"/>
                <w:lang w:val="fr-FR"/>
              </w:rPr>
              <w:t>Andrew Mylroi Lamont</w:t>
            </w:r>
            <w:r w:rsidR="00492F25" w:rsidRPr="00665D03">
              <w:rPr>
                <w:b/>
                <w:bCs/>
                <w:sz w:val="20"/>
                <w:szCs w:val="20"/>
                <w:lang w:val="fr-FR"/>
              </w:rPr>
              <w:t xml:space="preserve"> (President)</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585FF10E" w:rsidR="00102260" w:rsidRDefault="78AB82E7" w:rsidP="78AB82E7">
            <w:pPr>
              <w:spacing w:after="0"/>
              <w:rPr>
                <w:sz w:val="20"/>
                <w:szCs w:val="20"/>
              </w:rPr>
            </w:pPr>
            <w:r w:rsidRPr="78AB82E7">
              <w:rPr>
                <w:sz w:val="20"/>
                <w:szCs w:val="20"/>
              </w:rPr>
              <w:t>Date:</w:t>
            </w:r>
            <w:r w:rsidR="00492F25">
              <w:rPr>
                <w:sz w:val="20"/>
                <w:szCs w:val="20"/>
              </w:rPr>
              <w:t xml:space="preserve"> 28/08/202</w:t>
            </w:r>
            <w:r w:rsidR="000A6FC0">
              <w:rPr>
                <w:sz w:val="20"/>
                <w:szCs w:val="20"/>
              </w:rPr>
              <w:t>1</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77777777" w:rsidR="00102260" w:rsidRDefault="00102260">
            <w:pPr>
              <w:spacing w:after="0"/>
              <w:rPr>
                <w:sz w:val="20"/>
                <w:szCs w:val="20"/>
              </w:rPr>
            </w:pPr>
          </w:p>
        </w:tc>
      </w:tr>
      <w:tr w:rsidR="00102260" w14:paraId="0A8AD4DD" w14:textId="77777777" w:rsidTr="78AB82E7">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17C58B61" w14:textId="77777777" w:rsidR="00102260" w:rsidRDefault="00102260"/>
    <w:sectPr w:rsidR="00102260">
      <w:headerReference w:type="default" r:id="rId9"/>
      <w:footerReference w:type="default" r:id="rId10"/>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93C7" w14:textId="77777777" w:rsidR="00645E63" w:rsidRDefault="00645E63">
      <w:pPr>
        <w:spacing w:after="0" w:line="240" w:lineRule="auto"/>
      </w:pPr>
      <w:r>
        <w:separator/>
      </w:r>
    </w:p>
  </w:endnote>
  <w:endnote w:type="continuationSeparator" w:id="0">
    <w:p w14:paraId="754B9AFF" w14:textId="77777777" w:rsidR="00645E63" w:rsidRDefault="0064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5708" w14:textId="25ACC6FB" w:rsidR="00102260" w:rsidRDefault="00424012"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14:paraId="39F1687B" w14:textId="77777777" w:rsidR="00102260" w:rsidRDefault="0010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8AF5" w14:textId="77777777" w:rsidR="00645E63" w:rsidRDefault="00645E63">
      <w:pPr>
        <w:spacing w:after="0" w:line="240" w:lineRule="auto"/>
      </w:pPr>
      <w:r>
        <w:separator/>
      </w:r>
    </w:p>
  </w:footnote>
  <w:footnote w:type="continuationSeparator" w:id="0">
    <w:p w14:paraId="33ABC997" w14:textId="77777777" w:rsidR="00645E63" w:rsidRDefault="0064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6ADB" w14:textId="77777777" w:rsidR="00102260" w:rsidRDefault="00424012"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102260" w:rsidRDefault="00102260">
    <w:pPr>
      <w:pStyle w:val="Header"/>
      <w:tabs>
        <w:tab w:val="left" w:pos="2580"/>
        <w:tab w:val="left" w:pos="2985"/>
      </w:tabs>
      <w:spacing w:after="120" w:line="276" w:lineRule="auto"/>
      <w:rPr>
        <w:color w:val="4F81BD"/>
      </w:rPr>
    </w:pPr>
  </w:p>
  <w:p w14:paraId="4653362D" w14:textId="77777777" w:rsidR="00102260" w:rsidRDefault="0010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1720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CE1"/>
    <w:multiLevelType w:val="hybridMultilevel"/>
    <w:tmpl w:val="DAA4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7"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10"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B76DA6"/>
    <w:multiLevelType w:val="hybridMultilevel"/>
    <w:tmpl w:val="3E6A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15"/>
  </w:num>
  <w:num w:numId="4">
    <w:abstractNumId w:val="14"/>
  </w:num>
  <w:num w:numId="5">
    <w:abstractNumId w:val="2"/>
  </w:num>
  <w:num w:numId="6">
    <w:abstractNumId w:val="12"/>
  </w:num>
  <w:num w:numId="7">
    <w:abstractNumId w:val="3"/>
  </w:num>
  <w:num w:numId="8">
    <w:abstractNumId w:val="10"/>
  </w:num>
  <w:num w:numId="9">
    <w:abstractNumId w:val="5"/>
  </w:num>
  <w:num w:numId="10">
    <w:abstractNumId w:val="4"/>
  </w:num>
  <w:num w:numId="11">
    <w:abstractNumId w:val="13"/>
  </w:num>
  <w:num w:numId="12">
    <w:abstractNumId w:val="7"/>
  </w:num>
  <w:num w:numId="13">
    <w:abstractNumId w:val="11"/>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094710"/>
    <w:rsid w:val="000A6FC0"/>
    <w:rsid w:val="00102260"/>
    <w:rsid w:val="0022761B"/>
    <w:rsid w:val="0023628F"/>
    <w:rsid w:val="00250C97"/>
    <w:rsid w:val="002D7288"/>
    <w:rsid w:val="002E3DF8"/>
    <w:rsid w:val="003017D1"/>
    <w:rsid w:val="00342B85"/>
    <w:rsid w:val="00424012"/>
    <w:rsid w:val="00460E99"/>
    <w:rsid w:val="004909A3"/>
    <w:rsid w:val="00492F25"/>
    <w:rsid w:val="0060203B"/>
    <w:rsid w:val="00645E63"/>
    <w:rsid w:val="00665D03"/>
    <w:rsid w:val="00695A10"/>
    <w:rsid w:val="006D1232"/>
    <w:rsid w:val="00733D11"/>
    <w:rsid w:val="007C65D1"/>
    <w:rsid w:val="00807EC3"/>
    <w:rsid w:val="0081201B"/>
    <w:rsid w:val="008D600E"/>
    <w:rsid w:val="009259AB"/>
    <w:rsid w:val="00A12117"/>
    <w:rsid w:val="00A92F7D"/>
    <w:rsid w:val="00AA224E"/>
    <w:rsid w:val="00AA2A06"/>
    <w:rsid w:val="00AC7F7F"/>
    <w:rsid w:val="00AE34D4"/>
    <w:rsid w:val="00B22795"/>
    <w:rsid w:val="00BB0380"/>
    <w:rsid w:val="00BB3ACF"/>
    <w:rsid w:val="00BC2945"/>
    <w:rsid w:val="00BC73C8"/>
    <w:rsid w:val="00BD0836"/>
    <w:rsid w:val="00BD6888"/>
    <w:rsid w:val="00C87C3A"/>
    <w:rsid w:val="00D32BB6"/>
    <w:rsid w:val="00DB1DFF"/>
    <w:rsid w:val="00DE13A7"/>
    <w:rsid w:val="00DF7923"/>
    <w:rsid w:val="00E177F2"/>
    <w:rsid w:val="00E4552B"/>
    <w:rsid w:val="00ED6B8F"/>
    <w:rsid w:val="00EE7A5B"/>
    <w:rsid w:val="00F260DB"/>
    <w:rsid w:val="00FA52BA"/>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38D6-37AB-4EB9-8744-9C4EA1B6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Ruth Pettengell</cp:lastModifiedBy>
  <cp:revision>4</cp:revision>
  <dcterms:created xsi:type="dcterms:W3CDTF">2021-08-26T13:08:00Z</dcterms:created>
  <dcterms:modified xsi:type="dcterms:W3CDTF">2021-08-26T13:43:00Z</dcterms:modified>
  <dc:language>en-GB</dc:language>
</cp:coreProperties>
</file>