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766.0"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4f81bd" w:space="0" w:sz="8" w:val="single"/>
        </w:tblBorders>
        <w:tblLayout w:type="fixed"/>
        <w:tblLook w:val="04A0"/>
      </w:tblPr>
      <w:tblGrid>
        <w:gridCol w:w="7054"/>
        <w:gridCol w:w="3827"/>
        <w:gridCol w:w="300"/>
        <w:gridCol w:w="3585"/>
        <w:tblGridChange w:id="0">
          <w:tblGrid>
            <w:gridCol w:w="7054"/>
            <w:gridCol w:w="3827"/>
            <w:gridCol w:w="300"/>
            <w:gridCol w:w="3585"/>
          </w:tblGrid>
        </w:tblGridChange>
      </w:tblGrid>
      <w:tr>
        <w:trPr>
          <w:cantSplit w:val="0"/>
          <w:trHeight w:val="520" w:hRule="atLeast"/>
          <w:tblHeader w:val="0"/>
        </w:trPr>
        <w:tc>
          <w:tcPr>
            <w:gridSpan w:val="4"/>
          </w:tcPr>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Work/Activity: Southampton University Road Cycling Club Hill Climb Session</w:t>
            </w:r>
          </w:p>
        </w:tc>
      </w:tr>
      <w:tr>
        <w:trPr>
          <w:cantSplit w:val="0"/>
          <w:trHeight w:val="1960" w:hRule="atLeast"/>
          <w:tblHeader w:val="0"/>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pageBreakBefore w:val="0"/>
              <w:rPr/>
            </w:pPr>
            <w:r w:rsidDel="00000000" w:rsidR="00000000" w:rsidRPr="00000000">
              <w:rPr>
                <w:rtl w:val="0"/>
              </w:rPr>
              <w:t xml:space="preserve">Location: Hills near Southampton</w:t>
            </w:r>
          </w:p>
          <w:p w:rsidR="00000000" w:rsidDel="00000000" w:rsidP="00000000" w:rsidRDefault="00000000" w:rsidRPr="00000000" w14:paraId="00000007">
            <w:pPr>
              <w:pageBreakBefore w:val="0"/>
              <w:rPr/>
            </w:pPr>
            <w:r w:rsidDel="00000000" w:rsidR="00000000" w:rsidRPr="00000000">
              <w:rPr>
                <w:rtl w:val="0"/>
              </w:rPr>
              <w:t xml:space="preserve">Times: 6pm- 8pm</w:t>
            </w:r>
          </w:p>
          <w:p w:rsidR="00000000" w:rsidDel="00000000" w:rsidP="00000000" w:rsidRDefault="00000000" w:rsidRPr="00000000" w14:paraId="00000008">
            <w:pPr>
              <w:pageBreakBefore w:val="0"/>
              <w:rPr/>
            </w:pPr>
            <w:r w:rsidDel="00000000" w:rsidR="00000000" w:rsidRPr="00000000">
              <w:rPr>
                <w:rtl w:val="0"/>
              </w:rPr>
              <w:t xml:space="preserve">Dates: Friday evenings until clocks change</w:t>
            </w:r>
          </w:p>
          <w:p w:rsidR="00000000" w:rsidDel="00000000" w:rsidP="00000000" w:rsidRDefault="00000000" w:rsidRPr="00000000" w14:paraId="00000009">
            <w:pPr>
              <w:pageBreakBefore w:val="0"/>
              <w:rPr/>
            </w:pPr>
            <w:r w:rsidDel="00000000" w:rsidR="00000000" w:rsidRPr="00000000">
              <w:rPr>
                <w:rtl w:val="0"/>
              </w:rPr>
              <w:t xml:space="preserve">Numbers of people: up to 10 people</w:t>
            </w:r>
          </w:p>
          <w:p w:rsidR="00000000" w:rsidDel="00000000" w:rsidP="00000000" w:rsidRDefault="00000000" w:rsidRPr="00000000" w14:paraId="0000000A">
            <w:pPr>
              <w:pageBreakBefore w:val="0"/>
              <w:rPr/>
            </w:pPr>
            <w:r w:rsidDel="00000000" w:rsidR="00000000" w:rsidRPr="00000000">
              <w:rPr>
                <w:rtl w:val="0"/>
              </w:rPr>
              <w:t xml:space="preserve">Duration: 2 hours</w:t>
            </w:r>
          </w:p>
          <w:p w:rsidR="00000000" w:rsidDel="00000000" w:rsidP="00000000" w:rsidRDefault="00000000" w:rsidRPr="00000000" w14:paraId="0000000B">
            <w:pPr>
              <w:pageBreakBefore w:val="0"/>
              <w:rPr/>
            </w:pPr>
            <w:r w:rsidDel="00000000" w:rsidR="00000000" w:rsidRPr="00000000">
              <w:rPr>
                <w:rtl w:val="0"/>
              </w:rPr>
              <w:t xml:space="preserve">Activity descriptions: Members will meet up on campus then ride out to a local hill where they will take it in turns to ride up the hill as fast as possible, whilst being timed by another rider.</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rHeight w:val="140" w:hRule="atLeast"/>
          <w:tblHeader w:val="0"/>
        </w:trPr>
        <w:tc>
          <w:tcPr>
            <w:shd w:fill="4f81bd" w:val="clear"/>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b w:val="0"/>
                <w:color w:val="ffffff"/>
              </w:rPr>
            </w:pPr>
            <w:r w:rsidDel="00000000" w:rsidR="00000000" w:rsidRPr="00000000">
              <w:rPr>
                <w:b w:val="0"/>
                <w:color w:val="ffffff"/>
                <w:rtl w:val="0"/>
              </w:rPr>
              <w:t xml:space="preserve">Group: Southampton University Road Cycling Club</w:t>
            </w:r>
          </w:p>
        </w:tc>
        <w:tc>
          <w:tcPr>
            <w:gridSpan w:val="2"/>
            <w:shd w:fill="4f81bd" w:val="clear"/>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color w:val="ffffff"/>
              </w:rPr>
            </w:pPr>
            <w:r w:rsidDel="00000000" w:rsidR="00000000" w:rsidRPr="00000000">
              <w:rPr>
                <w:color w:val="ffffff"/>
                <w:rtl w:val="0"/>
              </w:rPr>
              <w:t xml:space="preserve">Assessor(s): Finlay Middlemiss (Social and Welfare Secretary)</w:t>
            </w:r>
          </w:p>
        </w:tc>
        <w:tc>
          <w:tcPr>
            <w:shd w:fill="4f81bd" w:val="clear"/>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color w:val="ffffff"/>
              </w:rPr>
            </w:pPr>
            <w:r w:rsidDel="00000000" w:rsidR="00000000" w:rsidRPr="00000000">
              <w:rPr>
                <w:color w:val="ffffff"/>
                <w:rtl w:val="0"/>
              </w:rPr>
              <w:t xml:space="preserve">Contact: </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color w:val="edf2f8"/>
              </w:rPr>
            </w:pPr>
            <w:r w:rsidDel="00000000" w:rsidR="00000000" w:rsidRPr="00000000">
              <w:rPr>
                <w:color w:val="ffffff"/>
                <w:rtl w:val="0"/>
              </w:rPr>
              <w:t xml:space="preserve">surc</w:t>
            </w:r>
            <w:hyperlink r:id="rId6">
              <w:r w:rsidDel="00000000" w:rsidR="00000000" w:rsidRPr="00000000">
                <w:rPr>
                  <w:color w:val="edf2f8"/>
                  <w:u w:val="single"/>
                  <w:rtl w:val="0"/>
                </w:rPr>
                <w:t xml:space="preserve">@soton.ac.u</w:t>
              </w:r>
            </w:hyperlink>
            <w:r w:rsidDel="00000000" w:rsidR="00000000" w:rsidRPr="00000000">
              <w:rPr>
                <w:color w:val="edf2f8"/>
                <w:rtl w:val="0"/>
              </w:rPr>
              <w:t xml:space="preserve">k</w:t>
            </w:r>
          </w:p>
        </w:tc>
      </w:tr>
      <w:tr>
        <w:trPr>
          <w:cantSplit w:val="0"/>
          <w:trHeight w:val="140" w:hRule="atLeast"/>
          <w:tblHeader w:val="0"/>
        </w:trPr>
        <w:tc>
          <w:tcPr>
            <w:tcBorders>
              <w:top w:color="000000" w:space="0" w:sz="0" w:val="nil"/>
              <w:left w:color="000000" w:space="0" w:sz="0" w:val="nil"/>
              <w:bottom w:color="000000" w:space="0" w:sz="0" w:val="nil"/>
            </w:tcBorders>
            <w:shd w:fill="c6d9f1" w:val="clear"/>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b w:val="0"/>
              </w:rPr>
            </w:pPr>
            <w:r w:rsidDel="00000000" w:rsidR="00000000" w:rsidRPr="00000000">
              <w:rPr>
                <w:b w:val="0"/>
                <w:rtl w:val="0"/>
              </w:rPr>
              <w:t xml:space="preserve">Guidance/standards/Reference documents  </w:t>
            </w:r>
          </w:p>
        </w:tc>
        <w:tc>
          <w:tcPr>
            <w:gridSpan w:val="3"/>
            <w:tcBorders>
              <w:top w:color="000000" w:space="0" w:sz="0" w:val="nil"/>
              <w:bottom w:color="000000" w:space="0" w:sz="0" w:val="nil"/>
              <w:right w:color="000000" w:space="0" w:sz="0" w:val="nil"/>
            </w:tcBorders>
            <w:shd w:fill="c6d9f1" w:val="clear"/>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Competence requirements</w:t>
            </w:r>
          </w:p>
        </w:tc>
      </w:tr>
      <w:tr>
        <w:trPr>
          <w:cantSplit w:val="0"/>
          <w:trHeight w:val="180" w:hRule="atLeast"/>
          <w:tblHeader w:val="0"/>
        </w:trPr>
        <w:tc>
          <w:tcPr>
            <w:vMerge w:val="restart"/>
          </w:tcPr>
          <w:p w:rsidR="00000000" w:rsidDel="00000000" w:rsidP="00000000" w:rsidRDefault="00000000" w:rsidRPr="00000000" w14:paraId="0000001A">
            <w:pPr>
              <w:pageBreakBefore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hanging="360"/>
              <w:rPr/>
            </w:pPr>
            <w:r w:rsidDel="00000000" w:rsidR="00000000" w:rsidRPr="00000000">
              <w:rPr>
                <w:rFonts w:ascii="Calibri" w:cs="Calibri" w:eastAsia="Calibri" w:hAnsi="Calibri"/>
                <w:b w:val="0"/>
                <w:sz w:val="22"/>
                <w:szCs w:val="22"/>
                <w:rtl w:val="0"/>
              </w:rPr>
              <w:t xml:space="preserve">http://www.hse.gov.uk/Risk/faq.htm</w:t>
            </w:r>
            <w:r w:rsidDel="00000000" w:rsidR="00000000" w:rsidRPr="00000000">
              <w:rPr>
                <w:rtl w:val="0"/>
              </w:rPr>
            </w:r>
          </w:p>
        </w:tc>
        <w:tc>
          <w:tcPr>
            <w:shd w:fill="c6d9f1" w:val="clear"/>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Role:</w:t>
            </w:r>
            <w:r w:rsidDel="00000000" w:rsidR="00000000" w:rsidRPr="00000000">
              <w:rPr>
                <w:rtl w:val="0"/>
              </w:rPr>
              <w:t xml:space="preserve"> [who has what H&amp;S responsibilities for each task e.g. event stewards]</w:t>
            </w:r>
          </w:p>
        </w:tc>
        <w:tc>
          <w:tcPr>
            <w:gridSpan w:val="2"/>
            <w:shd w:fill="c6d9f1" w:val="clear"/>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Skills, experience or qualifications</w:t>
            </w:r>
            <w:r w:rsidDel="00000000" w:rsidR="00000000" w:rsidRPr="00000000">
              <w:rPr>
                <w:rtl w:val="0"/>
              </w:rPr>
              <w:t xml:space="preserve"> [what training/experience has this person had to undertake their H&amp;S responsibilities]</w:t>
            </w:r>
          </w:p>
        </w:tc>
      </w:tr>
      <w:tr>
        <w:trPr>
          <w:cantSplit w:val="0"/>
          <w:trHeight w:val="1240" w:hRule="atLeast"/>
          <w:tblHeader w:val="0"/>
        </w:trPr>
        <w:tc>
          <w:tcPr>
            <w:vMerge w:val="continue"/>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b w:val="0"/>
              </w:rPr>
            </w:pPr>
            <w:r w:rsidDel="00000000" w:rsidR="00000000" w:rsidRPr="00000000">
              <w:rPr>
                <w:rtl w:val="0"/>
              </w:rPr>
            </w:r>
          </w:p>
        </w:tc>
        <w:tc>
          <w:tcPr>
            <w:vMerge w:val="restart"/>
            <w:tcBorders>
              <w:top w:color="000000" w:space="0" w:sz="0" w:val="nil"/>
              <w:bottom w:color="000000" w:space="0" w:sz="0" w:val="nil"/>
            </w:tcBorders>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gridSpan w:val="2"/>
            <w:vMerge w:val="restart"/>
            <w:tcBorders>
              <w:top w:color="000000" w:space="0" w:sz="0" w:val="nil"/>
              <w:bottom w:color="000000" w:space="0" w:sz="0" w:val="nil"/>
              <w:right w:color="000000" w:space="0" w:sz="0" w:val="nil"/>
            </w:tcBorders>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rHeight w:val="200" w:hRule="atLeast"/>
          <w:tblHeader w:val="0"/>
        </w:trPr>
        <w:tc>
          <w:tcPr>
            <w:shd w:fill="4f81bd" w:val="clear"/>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b w:val="0"/>
              </w:rPr>
            </w:pPr>
            <w:r w:rsidDel="00000000" w:rsidR="00000000" w:rsidRPr="00000000">
              <w:rPr>
                <w:b w:val="0"/>
                <w:color w:val="ffffff"/>
                <w:rtl w:val="0"/>
              </w:rPr>
              <w:t xml:space="preserve">Risk assessments linked</w:t>
            </w: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2"/>
            <w:vMerge w:val="continue"/>
            <w:tcBorders>
              <w:top w:color="000000" w:space="0" w:sz="0" w:val="nil"/>
              <w:bottom w:color="000000" w:space="0" w:sz="0" w:val="nil"/>
              <w:right w:color="000000" w:space="0" w:sz="0" w:val="nil"/>
            </w:tcBorders>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rHeight w:val="1980" w:hRule="atLeast"/>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[Identify areas of your activity which will fall under a different risk assessment. For example, fire risk assessments when using a building will have been covered by the premises operator.] </w:t>
            </w:r>
          </w:p>
        </w:tc>
        <w:tc>
          <w:tcPr>
            <w:vMerge w:val="continue"/>
            <w:tcBorders>
              <w:top w:color="000000" w:space="0" w:sz="0" w:val="nil"/>
              <w:bottom w:color="000000" w:space="0" w:sz="0" w:val="nil"/>
            </w:tcBorders>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0" w:val="nil"/>
              <w:bottom w:color="000000" w:space="0" w:sz="0" w:val="nil"/>
              <w:right w:color="000000" w:space="0" w:sz="0" w:val="nil"/>
            </w:tcBorders>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bl>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4820.0" w:type="dxa"/>
        <w:jc w:val="left"/>
        <w:tblInd w:w="0.0" w:type="dxa"/>
        <w:tblLayout w:type="fixed"/>
        <w:tblLook w:val="0400"/>
      </w:tblPr>
      <w:tblGrid>
        <w:gridCol w:w="1260"/>
        <w:gridCol w:w="2385"/>
        <w:gridCol w:w="1350"/>
        <w:gridCol w:w="2835"/>
        <w:gridCol w:w="1335"/>
        <w:gridCol w:w="1980"/>
        <w:gridCol w:w="1575"/>
        <w:gridCol w:w="1185"/>
        <w:gridCol w:w="915"/>
        <w:tblGridChange w:id="0">
          <w:tblGrid>
            <w:gridCol w:w="1260"/>
            <w:gridCol w:w="2385"/>
            <w:gridCol w:w="1350"/>
            <w:gridCol w:w="2835"/>
            <w:gridCol w:w="1335"/>
            <w:gridCol w:w="1980"/>
            <w:gridCol w:w="1575"/>
            <w:gridCol w:w="1185"/>
            <w:gridCol w:w="915"/>
          </w:tblGrid>
        </w:tblGridChange>
      </w:tblGrid>
      <w:tr>
        <w:trPr>
          <w:cantSplit w:val="0"/>
          <w:trHeight w:val="640" w:hRule="atLeast"/>
          <w:tblHeader w:val="0"/>
        </w:trPr>
        <w:tc>
          <w:tcPr>
            <w:tcBorders>
              <w:top w:color="000000" w:space="0" w:sz="8" w:val="single"/>
              <w:left w:color="000000" w:space="0" w:sz="8" w:val="single"/>
              <w:bottom w:color="000000" w:space="0" w:sz="4" w:val="single"/>
              <w:right w:color="000000" w:space="0" w:sz="8" w:val="single"/>
            </w:tcBorders>
            <w:shd w:fill="538dd5" w:val="clear"/>
            <w:vAlign w:val="center"/>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mbria" w:cs="Cambria" w:eastAsia="Cambria" w:hAnsi="Cambria"/>
                <w:color w:val="ffffff"/>
                <w:sz w:val="20"/>
                <w:szCs w:val="20"/>
              </w:rPr>
            </w:pPr>
            <w:r w:rsidDel="00000000" w:rsidR="00000000" w:rsidRPr="00000000">
              <w:rPr>
                <w:rFonts w:ascii="Cambria" w:cs="Cambria" w:eastAsia="Cambria" w:hAnsi="Cambria"/>
                <w:color w:val="ffffff"/>
                <w:sz w:val="20"/>
                <w:szCs w:val="20"/>
                <w:rtl w:val="0"/>
              </w:rPr>
              <w:t xml:space="preserve">Aspect</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mbria" w:cs="Cambria" w:eastAsia="Cambria" w:hAnsi="Cambria"/>
                <w:color w:val="ffffff"/>
                <w:sz w:val="20"/>
                <w:szCs w:val="20"/>
              </w:rPr>
            </w:pPr>
            <w:r w:rsidDel="00000000" w:rsidR="00000000" w:rsidRPr="00000000">
              <w:rPr>
                <w:rFonts w:ascii="Cambria" w:cs="Cambria" w:eastAsia="Cambria" w:hAnsi="Cambria"/>
                <w:color w:val="ffffff"/>
                <w:sz w:val="20"/>
                <w:szCs w:val="20"/>
                <w:rtl w:val="0"/>
              </w:rPr>
              <w:t xml:space="preserve">Hazards</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mbria" w:cs="Cambria" w:eastAsia="Cambria" w:hAnsi="Cambria"/>
                <w:color w:val="ffffff"/>
                <w:sz w:val="20"/>
                <w:szCs w:val="20"/>
              </w:rPr>
            </w:pPr>
            <w:r w:rsidDel="00000000" w:rsidR="00000000" w:rsidRPr="00000000">
              <w:rPr>
                <w:rFonts w:ascii="Cambria" w:cs="Cambria" w:eastAsia="Cambria" w:hAnsi="Cambria"/>
                <w:color w:val="ffffff"/>
                <w:sz w:val="20"/>
                <w:szCs w:val="20"/>
                <w:rtl w:val="0"/>
              </w:rPr>
              <w:t xml:space="preserve">Who might be harmed and how</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mbria" w:cs="Cambria" w:eastAsia="Cambria" w:hAnsi="Cambria"/>
                <w:color w:val="ffffff"/>
                <w:sz w:val="20"/>
                <w:szCs w:val="20"/>
              </w:rPr>
            </w:pPr>
            <w:r w:rsidDel="00000000" w:rsidR="00000000" w:rsidRPr="00000000">
              <w:rPr>
                <w:rFonts w:ascii="Cambria" w:cs="Cambria" w:eastAsia="Cambria" w:hAnsi="Cambria"/>
                <w:color w:val="ffffff"/>
                <w:sz w:val="20"/>
                <w:szCs w:val="20"/>
                <w:rtl w:val="0"/>
              </w:rPr>
              <w:t xml:space="preserve">Current control measures</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Current risk /9</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Additional control measures</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Action by whom?</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Residual risk</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/9</w:t>
            </w:r>
          </w:p>
        </w:tc>
        <w:tc>
          <w:tcPr>
            <w:tcBorders>
              <w:top w:color="000000" w:space="0" w:sz="8" w:val="single"/>
              <w:left w:color="000000" w:space="0" w:sz="0" w:val="nil"/>
              <w:bottom w:color="000000" w:space="0" w:sz="4" w:val="single"/>
              <w:right w:color="000000" w:space="0" w:sz="8" w:val="single"/>
            </w:tcBorders>
            <w:shd w:fill="8db4e2" w:val="clear"/>
            <w:vAlign w:val="center"/>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check SA/DM</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39">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 Riding out to the hill</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3A">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 Please see “club ride” risk assessment for general risk associated with riding on roads.</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44">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Riding up the hill</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45">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 Overexertion</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46">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 Participants</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47">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 Participants are only encouraged to take part at a speed they feel comfortable with.</w:t>
            </w:r>
          </w:p>
          <w:p w:rsidR="00000000" w:rsidDel="00000000" w:rsidP="00000000" w:rsidRDefault="00000000" w:rsidRPr="00000000" w14:paraId="00000048">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Regular breaks between the drills and ride out/ ride home. </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49">
            <w:pPr>
              <w:pageBreakBefore w:val="0"/>
              <w:spacing w:after="0" w:line="240" w:lineRule="auto"/>
              <w:rPr/>
            </w:pPr>
            <w:r w:rsidDel="00000000" w:rsidR="00000000" w:rsidRPr="00000000">
              <w:rPr>
                <w:rtl w:val="0"/>
              </w:rPr>
              <w:t xml:space="preserve"> 2</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4A">
            <w:pPr>
              <w:pageBreakBefore w:val="0"/>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4B">
            <w:pPr>
              <w:pageBreakBefore w:val="0"/>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4E">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 Riding up the hill</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4F">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 Dehydration</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50">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 Participants</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51">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 Participants are encouraged to bring a drink of water/ isotonic sports drink with them, and to drink water before and after taking part in the activity.</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52">
            <w:pPr>
              <w:pageBreakBefore w:val="0"/>
              <w:spacing w:after="0" w:line="240" w:lineRule="auto"/>
              <w:rPr/>
            </w:pPr>
            <w:r w:rsidDel="00000000" w:rsidR="00000000" w:rsidRPr="00000000">
              <w:rPr>
                <w:rtl w:val="0"/>
              </w:rPr>
              <w:t xml:space="preserve"> 1</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53">
            <w:pPr>
              <w:pageBreakBefore w:val="0"/>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54">
            <w:pPr>
              <w:pageBreakBefore w:val="0"/>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57">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COVID-19</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8">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Members may contract coronavirus or infect others around them whilst: meeting prior to a ride, and or, riding out on the road</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59">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Participants</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5A">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All measures pertaining to COVID-19 will be formed relative to guidance from the government, SUSU and British Cycling and will therefore be </w:t>
            </w:r>
            <w:r w:rsidDel="00000000" w:rsidR="00000000" w:rsidRPr="00000000">
              <w:rPr>
                <w:rFonts w:ascii="Cambria" w:cs="Cambria" w:eastAsia="Cambria" w:hAnsi="Cambria"/>
                <w:i w:val="1"/>
                <w:rtl w:val="0"/>
              </w:rPr>
              <w:t xml:space="preserve">subject to change:</w:t>
            </w:r>
            <w:r w:rsidDel="00000000" w:rsidR="00000000" w:rsidRPr="00000000">
              <w:rPr>
                <w:rtl w:val="0"/>
              </w:rPr>
            </w:r>
          </w:p>
          <w:p w:rsidR="00000000" w:rsidDel="00000000" w:rsidP="00000000" w:rsidRDefault="00000000" w:rsidRPr="00000000" w14:paraId="0000005B">
            <w:pPr>
              <w:pageBreakBefore w:val="0"/>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5C">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Social distancing will be observed at all times when members are the responsibility of the club i.e. during club ride periods. Outside of these periods members will be strenuously advised to maintain distance from other riders around them.</w:t>
            </w:r>
          </w:p>
          <w:p w:rsidR="00000000" w:rsidDel="00000000" w:rsidP="00000000" w:rsidRDefault="00000000" w:rsidRPr="00000000" w14:paraId="0000005D">
            <w:pPr>
              <w:pageBreakBefore w:val="0"/>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5E">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IF a ride group stops at a shop or cafe for nutritional purposes, members will be advised to wash their hands prior to any consumption.</w:t>
            </w:r>
          </w:p>
          <w:p w:rsidR="00000000" w:rsidDel="00000000" w:rsidP="00000000" w:rsidRDefault="00000000" w:rsidRPr="00000000" w14:paraId="0000005F">
            <w:pPr>
              <w:pageBreakBefore w:val="0"/>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60">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As members all have their own bikes and helmets etc, there is no need for the sharing of equipment on a routine basis and therefore the risk of spreading coronavirus by contact is heavily reduced.</w:t>
            </w:r>
          </w:p>
          <w:p w:rsidR="00000000" w:rsidDel="00000000" w:rsidP="00000000" w:rsidRDefault="00000000" w:rsidRPr="00000000" w14:paraId="00000061">
            <w:pPr>
              <w:pageBreakBefore w:val="0"/>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62">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If a member does contact coronavirus or are showing symptoms indicative of coronavirus, they will be forbidden from participating in any club activities until they have completed the self-isolation period as dictated by the government/NHS, currently between 10 and 14 days.</w:t>
            </w:r>
          </w:p>
          <w:p w:rsidR="00000000" w:rsidDel="00000000" w:rsidP="00000000" w:rsidRDefault="00000000" w:rsidRPr="00000000" w14:paraId="00000063">
            <w:pPr>
              <w:pageBreakBefore w:val="0"/>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64">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In accordance with British Cycling guidelines, groups will be limited to 6 per group allowing members to feasibly maintain social distancing.</w:t>
            </w:r>
          </w:p>
          <w:p w:rsidR="00000000" w:rsidDel="00000000" w:rsidP="00000000" w:rsidRDefault="00000000" w:rsidRPr="00000000" w14:paraId="00000065">
            <w:pPr>
              <w:pageBreakBefore w:val="0"/>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66">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Risk reduced due to activity taking place outside.</w:t>
            </w:r>
          </w:p>
          <w:p w:rsidR="00000000" w:rsidDel="00000000" w:rsidP="00000000" w:rsidRDefault="00000000" w:rsidRPr="00000000" w14:paraId="00000067">
            <w:pPr>
              <w:pageBreakBefore w:val="0"/>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68">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If a member does contract coronavirus or are showing symptoms indicative of coronavirus, they will be forbidden from participating in any club activities until they have completed the self-isolation period as dictated by the government/NHS, currently between 10 and 14 days.</w:t>
            </w:r>
          </w:p>
          <w:p w:rsidR="00000000" w:rsidDel="00000000" w:rsidP="00000000" w:rsidRDefault="00000000" w:rsidRPr="00000000" w14:paraId="00000069">
            <w:pPr>
              <w:pageBreakBefore w:val="0"/>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6A">
            <w:pPr>
              <w:pageBreakBefore w:val="0"/>
              <w:spacing w:after="0" w:line="240" w:lineRule="auto"/>
              <w:rPr>
                <w:rFonts w:ascii="Cambria" w:cs="Cambria" w:eastAsia="Cambria" w:hAnsi="Cambria"/>
              </w:rPr>
            </w:pPr>
            <w:hyperlink r:id="rId7">
              <w:r w:rsidDel="00000000" w:rsidR="00000000" w:rsidRPr="00000000">
                <w:rPr>
                  <w:rFonts w:ascii="Cambria" w:cs="Cambria" w:eastAsia="Cambria" w:hAnsi="Cambria"/>
                  <w:color w:val="1155cc"/>
                  <w:u w:val="single"/>
                  <w:rtl w:val="0"/>
                </w:rPr>
                <w:t xml:space="preserve">https://www.southampton.ac.uk/coronavirus.page</w:t>
              </w:r>
            </w:hyperlink>
            <w:r w:rsidDel="00000000" w:rsidR="00000000" w:rsidRPr="00000000">
              <w:rPr>
                <w:rtl w:val="0"/>
              </w:rPr>
            </w:r>
          </w:p>
          <w:p w:rsidR="00000000" w:rsidDel="00000000" w:rsidP="00000000" w:rsidRDefault="00000000" w:rsidRPr="00000000" w14:paraId="0000006B">
            <w:pPr>
              <w:pageBreakBefore w:val="0"/>
              <w:spacing w:after="0" w:line="240" w:lineRule="auto"/>
              <w:rPr>
                <w:rFonts w:ascii="Cambria" w:cs="Cambria" w:eastAsia="Cambria" w:hAnsi="Cambr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6C">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6 [accounts for a low likelihood but high severity]</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6D">
            <w:pPr>
              <w:pageBreakBefore w:val="0"/>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6E">
            <w:pPr>
              <w:pageBreakBefore w:val="0"/>
              <w:spacing w:after="0" w:line="240" w:lineRule="auto"/>
              <w:rPr>
                <w:rFonts w:ascii="Cambria" w:cs="Cambria" w:eastAsia="Cambria" w:hAnsi="Cambria"/>
              </w:rPr>
            </w:pPr>
            <w:r w:rsidDel="00000000" w:rsidR="00000000" w:rsidRPr="00000000">
              <w:rPr>
                <w:rFonts w:ascii="Cambria" w:cs="Cambria" w:eastAsia="Cambria" w:hAnsi="Cambria"/>
                <w:rtl w:val="0"/>
              </w:rPr>
              <w:t xml:space="preserve">It will be the responsibility of all members to act in a sensible manner, however, it will be the responsibility of the committee to proactively prompt adherence to guidelines.</w:t>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
        <w:tblW w:w="14163.000000000002"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4A0"/>
      </w:tblPr>
      <w:tblGrid>
        <w:gridCol w:w="3540"/>
        <w:gridCol w:w="3542"/>
        <w:gridCol w:w="7081"/>
        <w:tblGridChange w:id="0">
          <w:tblGrid>
            <w:gridCol w:w="3540"/>
            <w:gridCol w:w="3542"/>
            <w:gridCol w:w="7081"/>
          </w:tblGrid>
        </w:tblGridChange>
      </w:tblGrid>
      <w:tr>
        <w:trPr>
          <w:cantSplit w:val="0"/>
          <w:trHeight w:val="240" w:hRule="atLeast"/>
          <w:tblHeader w:val="0"/>
        </w:trPr>
        <w:tc>
          <w:tcPr>
            <w:gridSpan w:val="2"/>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Reviewed By:</w:t>
            </w:r>
          </w:p>
        </w:tc>
        <w:tc>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Comments:</w:t>
            </w:r>
          </w:p>
        </w:tc>
      </w:tr>
      <w:tr>
        <w:trPr>
          <w:cantSplit w:val="0"/>
          <w:trHeight w:val="480" w:hRule="atLeast"/>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Responsible person (SA/DM): </w:t>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Finlay Middlemiss</w:t>
            </w:r>
          </w:p>
        </w:tc>
        <w:tc>
          <w:tcPr>
            <w:tcBorders>
              <w:top w:color="000000" w:space="0" w:sz="0" w:val="nil"/>
              <w:bottom w:color="000000" w:space="0" w:sz="0" w:val="nil"/>
            </w:tcBorders>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Date: 17.08.2021</w:t>
            </w:r>
          </w:p>
        </w:tc>
        <w:tc>
          <w:tcPr>
            <w:tcBorders>
              <w:top w:color="000000" w:space="0" w:sz="0" w:val="nil"/>
              <w:bottom w:color="000000" w:space="0" w:sz="0" w:val="nil"/>
              <w:right w:color="000000" w:space="0" w:sz="0" w:val="nil"/>
            </w:tcBorders>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SUSU H&amp;S manager (where applicable):</w:t>
            </w:r>
          </w:p>
        </w:tc>
        <w:tc>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Date:</w:t>
            </w:r>
          </w:p>
        </w:tc>
        <w:tc>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bl>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4"/>
        <w:tblW w:w="7649.999999999999"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00"/>
      </w:tblPr>
      <w:tblGrid>
        <w:gridCol w:w="1912"/>
        <w:gridCol w:w="1912"/>
        <w:gridCol w:w="1912"/>
        <w:gridCol w:w="1914"/>
        <w:tblGridChange w:id="0">
          <w:tblGrid>
            <w:gridCol w:w="1912"/>
            <w:gridCol w:w="1912"/>
            <w:gridCol w:w="1912"/>
            <w:gridCol w:w="1914"/>
          </w:tblGrid>
        </w:tblGridChange>
      </w:tblGrid>
      <w:tr>
        <w:trPr>
          <w:cantSplit w:val="0"/>
          <w:trHeight w:val="780" w:hRule="atLeast"/>
          <w:tblHeader w:val="0"/>
        </w:trPr>
        <w:tc>
          <w:tcPr>
            <w:gridSpan w:val="4"/>
            <w:vAlign w:val="center"/>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Likelihood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1320800</wp:posOffset>
                      </wp:positionH>
                      <wp:positionV relativeFrom="paragraph">
                        <wp:posOffset>304800</wp:posOffset>
                      </wp:positionV>
                      <wp:extent cx="3263900" cy="25400"/>
                      <wp:effectExtent b="0" l="0" r="0" t="0"/>
                      <wp:wrapNone/>
                      <wp:docPr id="2" name=""/>
                      <a:graphic>
                        <a:graphicData uri="http://schemas.microsoft.com/office/word/2010/wordprocessingShape">
                          <wps:wsp>
                            <wps:cNvCnPr/>
                            <wps:spPr>
                              <a:xfrm>
                                <a:off x="3710631" y="3780000"/>
                                <a:ext cx="3270738" cy="0"/>
                              </a:xfrm>
                              <a:prstGeom prst="straightConnector1">
                                <a:avLst/>
                              </a:prstGeom>
                              <a:noFill/>
                              <a:ln cap="flat" cmpd="sng" w="9525">
                                <a:solidFill>
                                  <a:srgbClr val="4A7DBA"/>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1320800</wp:posOffset>
                      </wp:positionH>
                      <wp:positionV relativeFrom="paragraph">
                        <wp:posOffset>304800</wp:posOffset>
                      </wp:positionV>
                      <wp:extent cx="3263900" cy="25400"/>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263900" cy="25400"/>
                              </a:xfrm>
                              <a:prstGeom prst="rect"/>
                              <a:ln/>
                            </pic:spPr>
                          </pic:pic>
                        </a:graphicData>
                      </a:graphic>
                    </wp:anchor>
                  </w:drawing>
                </mc:Fallback>
              </mc:AlternateContent>
            </w:r>
          </w:p>
        </w:tc>
      </w:tr>
      <w:tr>
        <w:trPr>
          <w:cantSplit w:val="0"/>
          <w:trHeight w:val="780" w:hRule="atLeast"/>
          <w:tblHeader w:val="0"/>
        </w:trPr>
        <w:tc>
          <w:tcPr>
            <w:vMerge w:val="restart"/>
            <w:vAlign w:val="center"/>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1041400</wp:posOffset>
                      </wp:positionH>
                      <wp:positionV relativeFrom="paragraph">
                        <wp:posOffset>12700</wp:posOffset>
                      </wp:positionV>
                      <wp:extent cx="25400" cy="1168400"/>
                      <wp:effectExtent b="0" l="0" r="0" t="0"/>
                      <wp:wrapNone/>
                      <wp:docPr id="1" name=""/>
                      <a:graphic>
                        <a:graphicData uri="http://schemas.microsoft.com/office/word/2010/wordprocessingShape">
                          <wps:wsp>
                            <wps:cNvCnPr/>
                            <wps:spPr>
                              <a:xfrm rot="10800000">
                                <a:off x="5346000" y="3189768"/>
                                <a:ext cx="0" cy="1180465"/>
                              </a:xfrm>
                              <a:prstGeom prst="straightConnector1">
                                <a:avLst/>
                              </a:prstGeom>
                              <a:noFill/>
                              <a:ln cap="flat" cmpd="sng" w="9525">
                                <a:solidFill>
                                  <a:srgbClr val="4A7DBA"/>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1041400</wp:posOffset>
                      </wp:positionH>
                      <wp:positionV relativeFrom="paragraph">
                        <wp:posOffset>12700</wp:posOffset>
                      </wp:positionV>
                      <wp:extent cx="25400" cy="116840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5400" cy="1168400"/>
                              </a:xfrm>
                              <a:prstGeom prst="rect"/>
                              <a:ln/>
                            </pic:spPr>
                          </pic:pic>
                        </a:graphicData>
                      </a:graphic>
                    </wp:anchor>
                  </w:drawing>
                </mc:Fallback>
              </mc:AlternateConten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Impact</w:t>
            </w:r>
          </w:p>
        </w:tc>
        <w:tc>
          <w:tcPr>
            <w:shd w:fill="ffff00" w:val="clear"/>
            <w:vAlign w:val="center"/>
          </w:tcPr>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3</w:t>
            </w:r>
          </w:p>
        </w:tc>
        <w:tc>
          <w:tcPr>
            <w:shd w:fill="ff6600" w:val="clear"/>
            <w:vAlign w:val="center"/>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6</w:t>
            </w:r>
          </w:p>
        </w:tc>
        <w:tc>
          <w:tcPr>
            <w:shd w:fill="ff0000" w:val="clear"/>
            <w:vAlign w:val="center"/>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9</w:t>
            </w:r>
          </w:p>
        </w:tc>
      </w:tr>
      <w:tr>
        <w:trPr>
          <w:cantSplit w:val="0"/>
          <w:trHeight w:val="780" w:hRule="atLeast"/>
          <w:tblHeader w:val="0"/>
        </w:trPr>
        <w:tc>
          <w:tcPr>
            <w:vMerge w:val="continue"/>
            <w:vAlign w:val="center"/>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shd w:fill="92d050" w:val="clear"/>
            <w:vAlign w:val="center"/>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2</w:t>
            </w:r>
          </w:p>
        </w:tc>
        <w:tc>
          <w:tcPr>
            <w:shd w:fill="ffff00" w:val="clear"/>
            <w:vAlign w:val="center"/>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4</w:t>
            </w:r>
          </w:p>
        </w:tc>
        <w:tc>
          <w:tcPr>
            <w:shd w:fill="ff6600" w:val="clear"/>
            <w:vAlign w:val="center"/>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6</w:t>
            </w:r>
          </w:p>
        </w:tc>
      </w:tr>
      <w:tr>
        <w:trPr>
          <w:cantSplit w:val="0"/>
          <w:trHeight w:val="780" w:hRule="atLeast"/>
          <w:tblHeader w:val="0"/>
        </w:trPr>
        <w:tc>
          <w:tcPr>
            <w:vMerge w:val="continue"/>
            <w:vAlign w:val="center"/>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shd w:fill="00b050" w:val="clear"/>
            <w:vAlign w:val="center"/>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1</w:t>
            </w:r>
          </w:p>
        </w:tc>
        <w:tc>
          <w:tcPr>
            <w:shd w:fill="92d050" w:val="clear"/>
            <w:vAlign w:val="center"/>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2</w:t>
            </w:r>
          </w:p>
        </w:tc>
        <w:tc>
          <w:tcPr>
            <w:shd w:fill="ffff00" w:val="clear"/>
            <w:vAlign w:val="center"/>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3</w:t>
            </w:r>
          </w:p>
        </w:tc>
      </w:tr>
    </w:tbl>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bl>
      <w:tblPr>
        <w:tblStyle w:val="Table5"/>
        <w:tblW w:w="7875.0"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A0"/>
      </w:tblPr>
      <w:tblGrid>
        <w:gridCol w:w="1944"/>
        <w:gridCol w:w="5931"/>
        <w:tblGridChange w:id="0">
          <w:tblGrid>
            <w:gridCol w:w="1944"/>
            <w:gridCol w:w="5931"/>
          </w:tblGrid>
        </w:tblGridChange>
      </w:tblGrid>
      <w:tr>
        <w:trPr>
          <w:cantSplit w:val="0"/>
          <w:trHeight w:val="280" w:hRule="atLeast"/>
          <w:tblHeader w:val="0"/>
        </w:trPr>
        <w:tc>
          <w:tcPr>
            <w:gridSpan w:val="2"/>
          </w:tcPr>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Likelihood</w:t>
            </w:r>
          </w:p>
        </w:tc>
      </w:tr>
      <w:tr>
        <w:trPr>
          <w:cantSplit w:val="0"/>
          <w:trHeight w:val="280" w:hRule="atLeast"/>
          <w:tblHeader w:val="0"/>
        </w:trPr>
        <w:tc>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jc w:val="cente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Level</w:t>
            </w:r>
          </w:p>
        </w:tc>
        <w:tc>
          <w:tcPr>
            <w:shd w:fill="dbe5f1" w:val="clear"/>
          </w:tcPr>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jc w:val="center"/>
              <w:rPr>
                <w:rFonts w:ascii="Verdana" w:cs="Verdana" w:eastAsia="Verdana" w:hAnsi="Verdana"/>
                <w:b w:val="1"/>
                <w:color w:val="000000"/>
                <w:sz w:val="19"/>
                <w:szCs w:val="19"/>
              </w:rPr>
            </w:pPr>
            <w:r w:rsidDel="00000000" w:rsidR="00000000" w:rsidRPr="00000000">
              <w:rPr>
                <w:rFonts w:ascii="Verdana" w:cs="Verdana" w:eastAsia="Verdana" w:hAnsi="Verdana"/>
                <w:b w:val="1"/>
                <w:color w:val="000000"/>
                <w:sz w:val="19"/>
                <w:szCs w:val="19"/>
                <w:rtl w:val="0"/>
              </w:rPr>
              <w:t xml:space="preserve">Description</w:t>
            </w:r>
          </w:p>
        </w:tc>
      </w:tr>
      <w:tr>
        <w:trPr>
          <w:cantSplit w:val="0"/>
          <w:trHeight w:val="280" w:hRule="atLeast"/>
          <w:tblHeader w:val="0"/>
        </w:trPr>
        <w:tc>
          <w:tcPr/>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High (3)</w:t>
            </w:r>
          </w:p>
        </w:tc>
        <w:tc>
          <w:tcPr>
            <w:shd w:fill="dbe5f1" w:val="clear"/>
          </w:tcPr>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Will probably occur in most circumstances</w:t>
            </w:r>
          </w:p>
        </w:tc>
      </w:tr>
      <w:tr>
        <w:trPr>
          <w:cantSplit w:val="0"/>
          <w:trHeight w:val="280" w:hRule="atLeast"/>
          <w:tblHeader w:val="0"/>
        </w:trPr>
        <w:tc>
          <w:tcPr/>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Medium (2)</w:t>
            </w:r>
          </w:p>
        </w:tc>
        <w:tc>
          <w:tcPr>
            <w:shd w:fill="dbe5f1" w:val="clear"/>
          </w:tcPr>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Might occur at some time</w:t>
            </w:r>
          </w:p>
        </w:tc>
      </w:tr>
      <w:tr>
        <w:trPr>
          <w:cantSplit w:val="0"/>
          <w:trHeight w:val="280" w:hRule="atLeast"/>
          <w:tblHeader w:val="0"/>
        </w:trPr>
        <w:tc>
          <w:tcPr/>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Low (1)</w:t>
            </w:r>
          </w:p>
        </w:tc>
        <w:tc>
          <w:tcPr>
            <w:shd w:fill="dbe5f1" w:val="clear"/>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May occur only in exceptional circumstances</w:t>
            </w:r>
          </w:p>
        </w:tc>
      </w:tr>
    </w:tbl>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bl>
      <w:tblPr>
        <w:tblStyle w:val="Table6"/>
        <w:tblW w:w="4823.0"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A0"/>
      </w:tblPr>
      <w:tblGrid>
        <w:gridCol w:w="1107"/>
        <w:gridCol w:w="3716"/>
        <w:tblGridChange w:id="0">
          <w:tblGrid>
            <w:gridCol w:w="1107"/>
            <w:gridCol w:w="3716"/>
          </w:tblGrid>
        </w:tblGridChange>
      </w:tblGrid>
      <w:tr>
        <w:trPr>
          <w:cantSplit w:val="0"/>
          <w:trHeight w:val="420" w:hRule="atLeast"/>
          <w:tblHeader w:val="0"/>
        </w:trPr>
        <w:tc>
          <w:tcPr>
            <w:gridSpan w:val="2"/>
          </w:tcPr>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Impact</w:t>
            </w:r>
          </w:p>
        </w:tc>
      </w:tr>
      <w:tr>
        <w:trPr>
          <w:cantSplit w:val="0"/>
          <w:trHeight w:val="420" w:hRule="atLeast"/>
          <w:tblHeader w:val="0"/>
        </w:trPr>
        <w:tc>
          <w:tcPr/>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jc w:val="cente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Level</w:t>
            </w:r>
          </w:p>
        </w:tc>
        <w:tc>
          <w:tcPr>
            <w:shd w:fill="dbe5f1" w:val="clear"/>
          </w:tcPr>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jc w:val="center"/>
              <w:rPr>
                <w:rFonts w:ascii="Verdana" w:cs="Verdana" w:eastAsia="Verdana" w:hAnsi="Verdana"/>
                <w:b w:val="1"/>
                <w:color w:val="000000"/>
                <w:sz w:val="19"/>
                <w:szCs w:val="19"/>
              </w:rPr>
            </w:pPr>
            <w:r w:rsidDel="00000000" w:rsidR="00000000" w:rsidRPr="00000000">
              <w:rPr>
                <w:rFonts w:ascii="Verdana" w:cs="Verdana" w:eastAsia="Verdana" w:hAnsi="Verdana"/>
                <w:b w:val="1"/>
                <w:color w:val="000000"/>
                <w:sz w:val="19"/>
                <w:szCs w:val="19"/>
                <w:rtl w:val="0"/>
              </w:rPr>
              <w:t xml:space="preserve">Description</w:t>
            </w:r>
          </w:p>
        </w:tc>
      </w:tr>
      <w:tr>
        <w:trPr>
          <w:cantSplit w:val="0"/>
          <w:trHeight w:val="1280" w:hRule="atLeast"/>
          <w:tblHeader w:val="0"/>
        </w:trPr>
        <w:tc>
          <w:tcPr/>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High (3) </w:t>
            </w:r>
          </w:p>
        </w:tc>
        <w:tc>
          <w:tcPr>
            <w:shd w:fill="dbe5f1" w:val="clear"/>
          </w:tcPr>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Major Injury or Death; Loss of limb or life-threatening conditions. In hospital for more than 3 days, and/or subject to extensive prolonged course of medical treatment and support. </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rPr>
                <w:rFonts w:ascii="Verdana" w:cs="Verdana" w:eastAsia="Verdana" w:hAnsi="Verdana"/>
                <w:color w:val="000000"/>
                <w:sz w:val="19"/>
                <w:szCs w:val="19"/>
              </w:rPr>
            </w:pPr>
            <w:r w:rsidDel="00000000" w:rsidR="00000000" w:rsidRPr="00000000">
              <w:rPr>
                <w:rtl w:val="0"/>
              </w:rPr>
            </w:r>
          </w:p>
        </w:tc>
      </w:tr>
      <w:tr>
        <w:trPr>
          <w:cantSplit w:val="0"/>
          <w:trHeight w:val="1260" w:hRule="atLeast"/>
          <w:tblHeader w:val="0"/>
        </w:trPr>
        <w:tc>
          <w:tcPr/>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Medium (2)</w:t>
            </w:r>
          </w:p>
        </w:tc>
        <w:tc>
          <w:tcPr>
            <w:shd w:fill="dbe5f1" w:val="clear"/>
          </w:tcPr>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Serious injury causing hospitalisation, less than 3 days. Rehabilitation could last for several months.</w:t>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rPr>
                <w:rFonts w:ascii="Verdana" w:cs="Verdana" w:eastAsia="Verdana" w:hAnsi="Verdana"/>
                <w:color w:val="000000"/>
                <w:sz w:val="19"/>
                <w:szCs w:val="19"/>
              </w:rPr>
            </w:pPr>
            <w:r w:rsidDel="00000000" w:rsidR="00000000" w:rsidRPr="00000000">
              <w:rPr>
                <w:rtl w:val="0"/>
              </w:rPr>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rPr>
                <w:rFonts w:ascii="Verdana" w:cs="Verdana" w:eastAsia="Verdana" w:hAnsi="Verdana"/>
                <w:color w:val="000000"/>
                <w:sz w:val="19"/>
                <w:szCs w:val="19"/>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Low  (1)</w:t>
            </w:r>
          </w:p>
        </w:tc>
        <w:tc>
          <w:tcPr>
            <w:shd w:fill="dbe5f1" w:val="clear"/>
          </w:tcPr>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Minor/superficial injuries. Local first aid treatment or absence from work for less than 3 days.</w:t>
            </w:r>
          </w:p>
        </w:tc>
      </w:tr>
    </w:tbl>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sectPr>
      <w:headerReference r:id="rId10" w:type="default"/>
      <w:footerReference r:id="rId11" w:type="default"/>
      <w:pgSz w:h="11906" w:w="16838" w:orient="landscape"/>
      <w:pgMar w:bottom="850.3937007874016" w:top="850.3937007874016" w:left="850.3937007874016" w:right="566.92913385826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tabs>
        <w:tab w:val="center" w:pos="4513"/>
        <w:tab w:val="right" w:pos="9026"/>
      </w:tabs>
      <w:spacing w:after="708" w:before="0" w:line="240" w:lineRule="auto"/>
      <w:jc w:val="right"/>
      <w:rPr>
        <w:color w:val="808080"/>
      </w:rPr>
    </w:pPr>
    <w:r w:rsidDel="00000000" w:rsidR="00000000" w:rsidRPr="00000000">
      <w:rPr>
        <w:rFonts w:ascii="Calibri" w:cs="Calibri" w:eastAsia="Calibri" w:hAnsi="Calibri"/>
        <w:b w:val="0"/>
        <w:sz w:val="22"/>
        <w:szCs w:val="22"/>
      </w:rPr>
      <w:fldChar w:fldCharType="begin"/>
      <w:instrText xml:space="preserve">PAGE</w:instrText>
      <w:fldChar w:fldCharType="separate"/>
      <w:fldChar w:fldCharType="end"/>
    </w:r>
    <w:r w:rsidDel="00000000" w:rsidR="00000000" w:rsidRPr="00000000">
      <w:rPr>
        <w:rFonts w:ascii="Calibri" w:cs="Calibri" w:eastAsia="Calibri" w:hAnsi="Calibri"/>
        <w:b w:val="0"/>
        <w:sz w:val="22"/>
        <w:szCs w:val="22"/>
        <w:rtl w:val="0"/>
      </w:rPr>
      <w:t xml:space="preserve"> | </w:t>
    </w:r>
    <w:r w:rsidDel="00000000" w:rsidR="00000000" w:rsidRPr="00000000">
      <w:rPr>
        <w:rFonts w:ascii="Calibri" w:cs="Calibri" w:eastAsia="Calibri" w:hAnsi="Calibri"/>
        <w:b w:val="0"/>
        <w:color w:val="808080"/>
        <w:sz w:val="22"/>
        <w:szCs w:val="22"/>
        <w:rtl w:val="0"/>
      </w:rPr>
      <w:t xml:space="preserve">Pag</w:t>
    </w:r>
    <w:r w:rsidDel="00000000" w:rsidR="00000000" w:rsidRPr="00000000">
      <w:rPr>
        <w:color w:val="808080"/>
        <w:rtl w:val="0"/>
      </w:rPr>
      <w:t xml:space="preserve">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tabs>
        <w:tab w:val="left" w:pos="2580"/>
        <w:tab w:val="left" w:pos="2985"/>
        <w:tab w:val="left" w:pos="9065"/>
      </w:tabs>
      <w:spacing w:after="120" w:before="708" w:line="276" w:lineRule="auto"/>
      <w:rPr/>
    </w:pPr>
    <w:r w:rsidDel="00000000" w:rsidR="00000000" w:rsidRPr="00000000">
      <w:rPr>
        <w:rFonts w:ascii="Calibri" w:cs="Calibri" w:eastAsia="Calibri" w:hAnsi="Calibri"/>
        <w:b w:val="1"/>
        <w:color w:val="1f497d"/>
        <w:sz w:val="56"/>
        <w:szCs w:val="56"/>
        <w:rtl w:val="0"/>
      </w:rPr>
      <w:t xml:space="preserve">General Risk Assessment</w:t>
      <w:tab/>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95250</wp:posOffset>
          </wp:positionH>
          <wp:positionV relativeFrom="paragraph">
            <wp:posOffset>295275</wp:posOffset>
          </wp:positionV>
          <wp:extent cx="1450725" cy="457200"/>
          <wp:effectExtent b="0" l="0" r="0" t="0"/>
          <wp:wrapSquare wrapText="bothSides" distB="57150" distT="57150" distL="57150" distR="57150"/>
          <wp:docPr id="3" name="image1.png"/>
          <a:graphic>
            <a:graphicData uri="http://schemas.openxmlformats.org/drawingml/2006/picture">
              <pic:pic>
                <pic:nvPicPr>
                  <pic:cNvPr id="0" name="image1.png"/>
                  <pic:cNvPicPr preferRelativeResize="0"/>
                </pic:nvPicPr>
                <pic:blipFill>
                  <a:blip r:embed="rId1"/>
                  <a:srcRect b="0" l="0" r="49230" t="0"/>
                  <a:stretch>
                    <a:fillRect/>
                  </a:stretch>
                </pic:blipFill>
                <pic:spPr>
                  <a:xfrm>
                    <a:off x="0" y="0"/>
                    <a:ext cx="1450725" cy="457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pPr/>
      <w:rPr/>
      <w:tcPr>
        <w:tcBorders>
          <w:top w:color="4f81bd" w:space="0" w:sz="8" w:val="single"/>
          <w:left w:color="4f81bd" w:space="0" w:sz="8" w:val="single"/>
          <w:bottom w:color="4f81bd" w:space="0" w:sz="8" w:val="single"/>
          <w:right w:color="4f81bd" w:space="0" w:sz="8" w:val="single"/>
        </w:tcBorders>
        <w:tcMar>
          <w:top w:w="0.0" w:type="dxa"/>
          <w:left w:w="115.0" w:type="dxa"/>
          <w:bottom w:w="0.0" w:type="dxa"/>
          <w:right w:w="115.0" w:type="dxa"/>
        </w:tcMar>
      </w:tcPr>
    </w:tblStylePr>
    <w:tblStylePr w:type="band1Vert">
      <w:pPr/>
      <w:rPr/>
      <w:tcPr>
        <w:tcBorders>
          <w:top w:color="4f81bd" w:space="0" w:sz="8" w:val="single"/>
          <w:left w:color="4f81bd" w:space="0" w:sz="8" w:val="single"/>
          <w:bottom w:color="4f81bd" w:space="0" w:sz="8" w:val="single"/>
          <w:right w:color="4f81bd" w:space="0" w:sz="8" w:val="single"/>
        </w:tcBorders>
        <w:tcMar>
          <w:top w:w="0.0" w:type="dxa"/>
          <w:left w:w="115.0" w:type="dxa"/>
          <w:bottom w:w="0.0" w:type="dxa"/>
          <w:right w:w="115.0" w:type="dxa"/>
        </w:tcMar>
      </w:tcPr>
    </w:tblStylePr>
    <w:tblStylePr w:type="firstCol">
      <w:pPr/>
      <w:rPr>
        <w:b w:val="1"/>
      </w:rPr>
      <w:tcPr>
        <w:tcMar>
          <w:top w:w="0.0" w:type="dxa"/>
          <w:left w:w="115.0" w:type="dxa"/>
          <w:bottom w:w="0.0" w:type="dxa"/>
          <w:right w:w="115.0" w:type="dxa"/>
        </w:tcMar>
      </w:tcPr>
    </w:tblStylePr>
    <w:tblStylePr w:type="firstRow">
      <w:pPr>
        <w:spacing w:after="0" w:before="0" w:line="240" w:lineRule="auto"/>
      </w:pPr>
      <w:rPr>
        <w:b w:val="1"/>
        <w:color w:val="ffffff"/>
      </w:rPr>
      <w:tcPr>
        <w:shd w:fill="4f81bd" w:val="clear"/>
        <w:tcMar>
          <w:top w:w="0.0" w:type="dxa"/>
          <w:left w:w="115.0" w:type="dxa"/>
          <w:bottom w:w="0.0" w:type="dxa"/>
          <w:right w:w="115.0" w:type="dxa"/>
        </w:tcMar>
      </w:tcPr>
    </w:tblStylePr>
    <w:tblStylePr w:type="lastCol">
      <w:pPr/>
      <w:rPr>
        <w:b w:val="1"/>
      </w:rPr>
      <w:tcPr>
        <w:tcMar>
          <w:top w:w="0.0" w:type="dxa"/>
          <w:left w:w="115.0" w:type="dxa"/>
          <w:bottom w:w="0.0" w:type="dxa"/>
          <w:right w:w="115.0" w:type="dxa"/>
        </w:tcMar>
      </w:tc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Mar>
          <w:top w:w="0.0" w:type="dxa"/>
          <w:left w:w="115.0" w:type="dxa"/>
          <w:bottom w:w="0.0" w:type="dxa"/>
          <w:right w:w="115.0" w:type="dxa"/>
        </w:tcMar>
      </w:tcPr>
    </w:tblStyle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pPr/>
      <w:rPr/>
      <w:tcPr>
        <w:tcBorders>
          <w:top w:color="4f81bd" w:space="0" w:sz="8" w:val="single"/>
          <w:left w:color="4f81bd" w:space="0" w:sz="8" w:val="single"/>
          <w:bottom w:color="4f81bd" w:space="0" w:sz="8" w:val="single"/>
          <w:right w:color="4f81bd" w:space="0" w:sz="8" w:val="single"/>
        </w:tcBorders>
        <w:tcMar>
          <w:top w:w="0.0" w:type="dxa"/>
          <w:left w:w="115.0" w:type="dxa"/>
          <w:bottom w:w="0.0" w:type="dxa"/>
          <w:right w:w="115.0" w:type="dxa"/>
        </w:tcMar>
      </w:tcPr>
    </w:tblStylePr>
    <w:tblStylePr w:type="band1Vert">
      <w:pPr/>
      <w:rPr/>
      <w:tcPr>
        <w:tcBorders>
          <w:top w:color="4f81bd" w:space="0" w:sz="8" w:val="single"/>
          <w:left w:color="4f81bd" w:space="0" w:sz="8" w:val="single"/>
          <w:bottom w:color="4f81bd" w:space="0" w:sz="8" w:val="single"/>
          <w:right w:color="4f81bd" w:space="0" w:sz="8" w:val="single"/>
        </w:tcBorders>
        <w:tcMar>
          <w:top w:w="0.0" w:type="dxa"/>
          <w:left w:w="115.0" w:type="dxa"/>
          <w:bottom w:w="0.0" w:type="dxa"/>
          <w:right w:w="115.0" w:type="dxa"/>
        </w:tcMar>
      </w:tcPr>
    </w:tblStylePr>
    <w:tblStylePr w:type="firstCol">
      <w:pPr/>
      <w:rPr>
        <w:b w:val="1"/>
      </w:rPr>
      <w:tcPr>
        <w:tcMar>
          <w:top w:w="0.0" w:type="dxa"/>
          <w:left w:w="115.0" w:type="dxa"/>
          <w:bottom w:w="0.0" w:type="dxa"/>
          <w:right w:w="115.0" w:type="dxa"/>
        </w:tcMar>
      </w:tcPr>
    </w:tblStylePr>
    <w:tblStylePr w:type="firstRow">
      <w:pPr>
        <w:spacing w:after="0" w:before="0" w:line="240" w:lineRule="auto"/>
      </w:pPr>
      <w:rPr>
        <w:b w:val="1"/>
        <w:color w:val="ffffff"/>
      </w:rPr>
      <w:tcPr>
        <w:shd w:fill="4f81bd" w:val="clear"/>
        <w:tcMar>
          <w:top w:w="0.0" w:type="dxa"/>
          <w:left w:w="115.0" w:type="dxa"/>
          <w:bottom w:w="0.0" w:type="dxa"/>
          <w:right w:w="115.0" w:type="dxa"/>
        </w:tcMar>
      </w:tcPr>
    </w:tblStylePr>
    <w:tblStylePr w:type="lastCol">
      <w:pPr/>
      <w:rPr>
        <w:b w:val="1"/>
      </w:rPr>
      <w:tcPr>
        <w:tcMar>
          <w:top w:w="0.0" w:type="dxa"/>
          <w:left w:w="115.0" w:type="dxa"/>
          <w:bottom w:w="0.0" w:type="dxa"/>
          <w:right w:w="115.0" w:type="dxa"/>
        </w:tcMar>
      </w:tc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Mar>
          <w:top w:w="0.0" w:type="dxa"/>
          <w:left w:w="115.0" w:type="dxa"/>
          <w:bottom w:w="0.0" w:type="dxa"/>
          <w:right w:w="115.0" w:type="dxa"/>
        </w:tcMar>
      </w:tcPr>
    </w:tblStylePr>
  </w:style>
  <w:style w:type="table" w:styleId="Table4">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style>
  <w:style w:type="table" w:styleId="Table5">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pPr/>
      <w:rPr/>
      <w:tcPr>
        <w:tcBorders>
          <w:insideH w:color="4f81bd" w:space="0" w:sz="6" w:val="single"/>
          <w:insideV w:color="4f81bd" w:space="0" w:sz="6" w:val="single"/>
        </w:tcBorders>
        <w:shd w:fill="a7c0de" w:val="clear"/>
        <w:tcMar>
          <w:top w:w="0.0" w:type="dxa"/>
          <w:left w:w="115.0" w:type="dxa"/>
          <w:bottom w:w="0.0" w:type="dxa"/>
          <w:right w:w="115.0" w:type="dxa"/>
        </w:tcMar>
      </w:tcPr>
    </w:tblStylePr>
    <w:tblStylePr w:type="band1Vert">
      <w:pPr/>
      <w:rPr/>
      <w:tcPr>
        <w:shd w:fill="a7c0de" w:val="clear"/>
        <w:tcMar>
          <w:top w:w="0.0" w:type="dxa"/>
          <w:left w:w="115.0" w:type="dxa"/>
          <w:bottom w:w="0.0" w:type="dxa"/>
          <w:right w:w="115.0" w:type="dxa"/>
        </w:tcMar>
      </w:tcPr>
    </w:tblStylePr>
    <w:tblStylePr w:type="firstCol">
      <w:pPr/>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Mar>
          <w:top w:w="0.0" w:type="dxa"/>
          <w:left w:w="115.0" w:type="dxa"/>
          <w:bottom w:w="0.0" w:type="dxa"/>
          <w:right w:w="115.0" w:type="dxa"/>
        </w:tcMar>
      </w:tcPr>
    </w:tblStylePr>
    <w:tblStylePr w:type="firstRow">
      <w:pPr/>
      <w:rPr>
        <w:b w:val="1"/>
        <w:color w:val="000000"/>
      </w:rPr>
      <w:tcPr>
        <w:shd w:fill="edf2f8" w:val="clear"/>
        <w:tcMar>
          <w:top w:w="0.0" w:type="dxa"/>
          <w:left w:w="115.0" w:type="dxa"/>
          <w:bottom w:w="0.0" w:type="dxa"/>
          <w:right w:w="115.0" w:type="dxa"/>
        </w:tcMar>
      </w:tcPr>
    </w:tblStylePr>
    <w:tblStylePr w:type="lastCol">
      <w:pPr/>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be5f1" w:val="clear"/>
        <w:tcMar>
          <w:top w:w="0.0" w:type="dxa"/>
          <w:left w:w="115.0" w:type="dxa"/>
          <w:bottom w:w="0.0" w:type="dxa"/>
          <w:right w:w="115.0" w:type="dxa"/>
        </w:tcMar>
      </w:tcPr>
    </w:tblStylePr>
    <w:tblStylePr w:type="lastRow">
      <w:pPr/>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Mar>
          <w:top w:w="0.0" w:type="dxa"/>
          <w:left w:w="115.0" w:type="dxa"/>
          <w:bottom w:w="0.0" w:type="dxa"/>
          <w:right w:w="115.0" w:type="dxa"/>
        </w:tcMar>
      </w:tcPr>
    </w:tblStylePr>
    <w:tblStylePr w:type="nwCell">
      <w:pPr/>
      <w:rPr/>
      <w:tcPr>
        <w:shd w:fill="ffffff" w:val="clear"/>
        <w:tcMar>
          <w:top w:w="0.0" w:type="dxa"/>
          <w:left w:w="115.0" w:type="dxa"/>
          <w:bottom w:w="0.0" w:type="dxa"/>
          <w:right w:w="115.0" w:type="dxa"/>
        </w:tcMar>
      </w:tcPr>
    </w:tblStylePr>
  </w:style>
  <w:style w:type="table" w:styleId="Table6">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pPr/>
      <w:rPr/>
      <w:tcPr>
        <w:tcBorders>
          <w:insideH w:color="4f81bd" w:space="0" w:sz="6" w:val="single"/>
          <w:insideV w:color="4f81bd" w:space="0" w:sz="6" w:val="single"/>
        </w:tcBorders>
        <w:shd w:fill="a7c0de" w:val="clear"/>
        <w:tcMar>
          <w:top w:w="0.0" w:type="dxa"/>
          <w:left w:w="115.0" w:type="dxa"/>
          <w:bottom w:w="0.0" w:type="dxa"/>
          <w:right w:w="115.0" w:type="dxa"/>
        </w:tcMar>
      </w:tcPr>
    </w:tblStylePr>
    <w:tblStylePr w:type="band1Vert">
      <w:pPr/>
      <w:rPr/>
      <w:tcPr>
        <w:shd w:fill="a7c0de" w:val="clear"/>
        <w:tcMar>
          <w:top w:w="0.0" w:type="dxa"/>
          <w:left w:w="115.0" w:type="dxa"/>
          <w:bottom w:w="0.0" w:type="dxa"/>
          <w:right w:w="115.0" w:type="dxa"/>
        </w:tcMar>
      </w:tcPr>
    </w:tblStylePr>
    <w:tblStylePr w:type="firstCol">
      <w:pPr/>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Mar>
          <w:top w:w="0.0" w:type="dxa"/>
          <w:left w:w="115.0" w:type="dxa"/>
          <w:bottom w:w="0.0" w:type="dxa"/>
          <w:right w:w="115.0" w:type="dxa"/>
        </w:tcMar>
      </w:tcPr>
    </w:tblStylePr>
    <w:tblStylePr w:type="firstRow">
      <w:pPr/>
      <w:rPr>
        <w:b w:val="1"/>
        <w:color w:val="000000"/>
      </w:rPr>
      <w:tcPr>
        <w:shd w:fill="edf2f8" w:val="clear"/>
        <w:tcMar>
          <w:top w:w="0.0" w:type="dxa"/>
          <w:left w:w="115.0" w:type="dxa"/>
          <w:bottom w:w="0.0" w:type="dxa"/>
          <w:right w:w="115.0" w:type="dxa"/>
        </w:tcMar>
      </w:tcPr>
    </w:tblStylePr>
    <w:tblStylePr w:type="lastCol">
      <w:pPr/>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be5f1" w:val="clear"/>
        <w:tcMar>
          <w:top w:w="0.0" w:type="dxa"/>
          <w:left w:w="115.0" w:type="dxa"/>
          <w:bottom w:w="0.0" w:type="dxa"/>
          <w:right w:w="115.0" w:type="dxa"/>
        </w:tcMar>
      </w:tcPr>
    </w:tblStylePr>
    <w:tblStylePr w:type="lastRow">
      <w:pPr/>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Mar>
          <w:top w:w="0.0" w:type="dxa"/>
          <w:left w:w="115.0" w:type="dxa"/>
          <w:bottom w:w="0.0" w:type="dxa"/>
          <w:right w:w="115.0" w:type="dxa"/>
        </w:tcMar>
      </w:tcPr>
    </w:tblStylePr>
    <w:tblStylePr w:type="nwCell">
      <w:pPr/>
      <w:rPr/>
      <w:tcPr>
        <w:shd w:fill="ffffff" w:val="clea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mailto:Vlr1g11@soton.ac.uk" TargetMode="External"/><Relationship Id="rId7" Type="http://schemas.openxmlformats.org/officeDocument/2006/relationships/hyperlink" Target="https://www.southampton.ac.uk/coronavirus.page" TargetMode="External"/><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