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Online Event</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20</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b w:val="1"/>
                <w:rtl w:val="0"/>
              </w:rPr>
              <w:t xml:space="preserve">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b w:val="1"/>
                <w:rtl w:val="0"/>
              </w:rPr>
              <w:t xml:space="preserve">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Szymon Wojcik</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2"/>
        <w:tblW w:w="15366.000000000002"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Looking at an electronic screen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Eye strain</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online sessions have regular breaks and are limited to a suitable duration. Each member is responsible for ensuring they wear their glasses when necessary for them to do so.</w:t>
            </w:r>
            <w:r w:rsidDel="00000000" w:rsidR="00000000" w:rsidRPr="00000000">
              <w:rPr>
                <w:b w:val="1"/>
                <w:rtl w:val="0"/>
              </w:rPr>
              <w:t xml:space="preserve">Moreover since the end of government lockdowns these sessions are a lot more rare hence risk is reduced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Bad posture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Straining of back and/or neck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participants of online activities are responsible for their own arrangement whereby they are advised to be comfy and maintain good posture. All online sessions have regular breaks and are limited to a suitable duration. Moreover since the end of government lockdowns these sessions are a lot more r</w:t>
            </w:r>
            <w:r w:rsidDel="00000000" w:rsidR="00000000" w:rsidRPr="00000000">
              <w:rPr>
                <w:b w:val="1"/>
                <w:rtl w:val="0"/>
              </w:rPr>
              <w:t xml:space="preserve">are hence risk is reduced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Alcohol consumption</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5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tl w:val="0"/>
              </w:rPr>
              <w:t xml:space="preserve">Covid 19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tl w:val="0"/>
              </w:rPr>
              <w:t xml:space="preserve">Transmission of virus between individuals</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tl w:val="0"/>
              </w:rPr>
              <w:t xml:space="preserve">Swim team members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B">
            <w:pPr>
              <w:spacing w:after="0" w:line="240" w:lineRule="auto"/>
              <w:rPr>
                <w:b w:val="1"/>
              </w:rPr>
            </w:pPr>
            <w:r w:rsidDel="00000000" w:rsidR="00000000" w:rsidRPr="00000000">
              <w:rPr>
                <w:b w:val="1"/>
                <w:rtl w:val="0"/>
              </w:rPr>
              <w:t xml:space="preserve">On any online event that is needed, mixing of households will be kept to a minimum if possible.</w:t>
            </w:r>
          </w:p>
          <w:p w:rsidR="00000000" w:rsidDel="00000000" w:rsidP="00000000" w:rsidRDefault="00000000" w:rsidRPr="00000000" w14:paraId="0000006C">
            <w:pPr>
              <w:spacing w:after="0" w:line="240" w:lineRule="auto"/>
              <w:rPr>
                <w:b w:val="1"/>
              </w:rPr>
            </w:pPr>
            <w:r w:rsidDel="00000000" w:rsidR="00000000" w:rsidRPr="00000000">
              <w:rPr>
                <w:rtl w:val="0"/>
              </w:rPr>
            </w:r>
          </w:p>
          <w:p w:rsidR="00000000" w:rsidDel="00000000" w:rsidP="00000000" w:rsidRDefault="00000000" w:rsidRPr="00000000" w14:paraId="0000006D">
            <w:pPr>
              <w:spacing w:after="0" w:line="240" w:lineRule="auto"/>
              <w:rPr>
                <w:b w:val="1"/>
              </w:rPr>
            </w:pPr>
            <w:r w:rsidDel="00000000" w:rsidR="00000000" w:rsidRPr="00000000">
              <w:rPr>
                <w:b w:val="1"/>
                <w:rtl w:val="0"/>
              </w:rPr>
              <w:t xml:space="preserve">Guidance for isolation and traced covid cases will comply with that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0">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cooperative with the information published through the universities covid measures at: </w:t>
            </w:r>
            <w:hyperlink r:id="rId8">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74">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7A">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8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8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8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8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8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8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8B">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08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08E">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347913" cy="729875"/>
                  <wp:effectExtent b="0" l="0" r="0" t="0"/>
                  <wp:docPr id="12" name="image2.gif"/>
                  <a:graphic>
                    <a:graphicData uri="http://schemas.openxmlformats.org/drawingml/2006/picture">
                      <pic:pic>
                        <pic:nvPicPr>
                          <pic:cNvPr id="0" name="image2.gif"/>
                          <pic:cNvPicPr preferRelativeResize="0"/>
                        </pic:nvPicPr>
                        <pic:blipFill>
                          <a:blip r:embed="rId9"/>
                          <a:srcRect b="0" l="0" r="0" t="0"/>
                          <a:stretch>
                            <a:fillRect/>
                          </a:stretch>
                        </pic:blipFill>
                        <pic:spPr>
                          <a:xfrm>
                            <a:off x="0" y="0"/>
                            <a:ext cx="2347913" cy="729875"/>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90">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091">
            <w:pPr>
              <w:spacing w:after="0" w:line="240" w:lineRule="auto"/>
              <w:rPr>
                <w:rFonts w:ascii="Lucida Sans" w:cs="Lucida Sans" w:eastAsia="Lucida Sans" w:hAnsi="Lucida Sans"/>
                <w:color w:val="000000"/>
              </w:rPr>
            </w:pPr>
            <w:r w:rsidDel="00000000" w:rsidR="00000000" w:rsidRPr="00000000">
              <w:rPr/>
              <w:drawing>
                <wp:inline distB="114300" distT="114300" distL="114300" distR="114300">
                  <wp:extent cx="2557463" cy="652204"/>
                  <wp:effectExtent b="0" l="0" r="0" t="0"/>
                  <wp:docPr id="1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57463" cy="652204"/>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20</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097">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9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9E">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A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A2">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A6">
            <w:pPr>
              <w:rPr>
                <w:sz w:val="24"/>
                <w:szCs w:val="24"/>
              </w:rPr>
            </w:pPr>
            <w:r w:rsidDel="00000000" w:rsidR="00000000" w:rsidRPr="00000000">
              <w:rPr>
                <w:rtl w:val="0"/>
              </w:rPr>
            </w:r>
          </w:p>
        </w:tc>
        <w:tc>
          <w:tcPr>
            <w:vMerge w:val="continue"/>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A9">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AA">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AD">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A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A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B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C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C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0D0">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0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0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0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0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0D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0D9">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0DE">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0D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0E0">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0E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0E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0E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0E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0E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0E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0E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0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0E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0E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0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0E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0E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0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0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0F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0F2">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0F3">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0F4">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0F6">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0F7">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0F8">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0F9">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0FA">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0FB">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0FC">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0FD">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0FE">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0FF">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sectPr>
      <w:headerReference r:id="rId13" w:type="default"/>
      <w:footerReference r:id="rId14"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southampton.ac.uk/coronaviru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7tTh5jpyDjxtSp37DL9v9+gyiQ==">AMUW2mWkRSAUwe3NvQ4PSaKNznA4udPYqRoKXDobRig99k7w9sBTTmJ+4CVGBDgjM7EXb/AFVpbyb64+qfq3bDm3RANmyIGKJh7XwmJAJOKZAThZm8inWLw=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2020-08-30T11:21:00Z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