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Tour (holiday)</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20</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/0</w:t>
            </w:r>
            <w:r w:rsidDel="00000000" w:rsidR="00000000" w:rsidRPr="00000000">
              <w:rPr>
                <w:rFonts w:ascii="Verdana" w:cs="Verdana" w:eastAsia="Verdana" w:hAnsi="Verdana"/>
                <w:b w:val="1"/>
                <w:rtl w:val="0"/>
              </w:rPr>
              <w:t xml:space="preserve">7</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/20</w:t>
            </w:r>
            <w:r w:rsidDel="00000000" w:rsidR="00000000" w:rsidRPr="00000000">
              <w:rPr>
                <w:rFonts w:ascii="Verdana" w:cs="Verdana" w:eastAsia="Verdana" w:hAnsi="Verdana"/>
                <w:b w:val="1"/>
                <w:rtl w:val="0"/>
              </w:rPr>
              <w:t xml:space="preserve">22</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Szymon Wojcik</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tbl>
      <w:tblPr>
        <w:tblStyle w:val="Table2"/>
        <w:tblW w:w="15366.000000000002"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7"/>
        <w:gridCol w:w="2536"/>
        <w:gridCol w:w="2466"/>
        <w:gridCol w:w="464"/>
        <w:gridCol w:w="464"/>
        <w:gridCol w:w="469"/>
        <w:gridCol w:w="2487"/>
        <w:gridCol w:w="464"/>
        <w:gridCol w:w="464"/>
        <w:gridCol w:w="464"/>
        <w:gridCol w:w="2481"/>
        <w:tblGridChange w:id="0">
          <w:tblGrid>
            <w:gridCol w:w="2607"/>
            <w:gridCol w:w="2536"/>
            <w:gridCol w:w="2466"/>
            <w:gridCol w:w="464"/>
            <w:gridCol w:w="464"/>
            <w:gridCol w:w="469"/>
            <w:gridCol w:w="2487"/>
            <w:gridCol w:w="464"/>
            <w:gridCol w:w="464"/>
            <w:gridCol w:w="464"/>
            <w:gridCol w:w="2481"/>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7">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4"/>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2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4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Drug Influence</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4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their actions and surroundings, leading to injury. </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staff</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4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4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The club has a zero tolerance of substance use. Any persons suspected of using substances will immediately removed from their position in the club whereby the procedure documented in the  club's constitution will be followed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4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4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Where someone has been suspected of being influenced by drugs, intentionally or unknowingly, 999 or 111 will be called for medical advice.</w:t>
            </w:r>
          </w:p>
        </w:tc>
      </w:tr>
      <w:tr>
        <w:trPr>
          <w:cantSplit w:val="0"/>
          <w:trHeight w:val="1275"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4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Adverse weather conditions</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4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Heat stroke, hypothermia, shock</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5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4">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take suitable clothing to training sessions and take extra precautions in extreme weather conditions. Tour </w:t>
            </w:r>
            <w:r w:rsidDel="00000000" w:rsidR="00000000" w:rsidRPr="00000000">
              <w:rPr>
                <w:b w:val="1"/>
                <w:rtl w:val="0"/>
              </w:rPr>
              <w:t xml:space="preserve">typically takes place over </w:t>
            </w:r>
            <w:r w:rsidDel="00000000" w:rsidR="00000000" w:rsidRPr="00000000">
              <w:rPr>
                <w:rFonts w:ascii="Lucida Sans" w:cs="Lucida Sans" w:eastAsia="Lucida Sans" w:hAnsi="Lucida Sans"/>
                <w:b w:val="1"/>
                <w:color w:val="000000"/>
                <w:rtl w:val="0"/>
              </w:rPr>
              <w:t xml:space="preserve">dates with moderate weather conditions.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5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8">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5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fracture of any body part. Potential head injury.</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5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F">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sensible and aware of their surroundings.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3">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6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Unknown surroundings</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Disorientation and vulnerability to criminal activities</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A">
            <w:pPr>
              <w:spacing w:after="0" w:line="240" w:lineRule="auto"/>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6B">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members stay together (minimum of a pair)  and meet at set times when changing location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full list of members is kept with contact and medical and emergency contact information. </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Alcohol consumption</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Intoxication, loss of judgement and awareness. Injury to themselves and others.</w:t>
            </w:r>
          </w:p>
          <w:p w:rsidR="00000000" w:rsidDel="00000000" w:rsidP="00000000" w:rsidRDefault="00000000" w:rsidRPr="00000000" w14:paraId="0000007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 extreme cases alcohol poisoning.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are aware of their actions and level of intoxication. Look out for each other and inappropriate behaviour will not be tolerated.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responsible person will always be contactable and be capable of calling the emergency services if required.</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7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Dehydration </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Fainting and in extreme circumstances loss of consciousness </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8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8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members have access to water at venues.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8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86">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87">
            <w:pPr>
              <w:spacing w:after="0" w:line="240" w:lineRule="auto"/>
              <w:rPr>
                <w:rFonts w:ascii="Lucida Sans" w:cs="Lucida Sans" w:eastAsia="Lucida Sans" w:hAnsi="Lucida Sans"/>
                <w:color w:val="000000"/>
              </w:rPr>
            </w:pPr>
            <w:bookmarkStart w:colFirst="0" w:colLast="0" w:name="_heading=h.gjdgxs" w:id="0"/>
            <w:bookmarkEnd w:id="0"/>
            <w:r w:rsidDel="00000000" w:rsidR="00000000" w:rsidRPr="00000000">
              <w:rPr>
                <w:rFonts w:ascii="Lucida Sans" w:cs="Lucida Sans" w:eastAsia="Lucida Sans" w:hAnsi="Lucida Sans"/>
                <w:color w:val="000000"/>
                <w:rtl w:val="0"/>
              </w:rPr>
              <w:t xml:space="preserve">Broken glass/ sharp object</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Laceration of any body part</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D">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any broken glass is cleared up immediately with appropriate precautions. Use of plastic cups where possible.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1">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55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Drink Spiking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actions, inability to control movements, potential unconsciousness and in extreme circumstances death. Impact on mental health/ wellbeing, potentially leading to anxiety and/or depression.</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8">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keep their drink with them and if possible, keep drink in a bottle. Any suspicious activity is to be reported immediately. Where immediate first aid is required an ambulance is called on 999 (or emergency number for the country)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C">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Cancellation of any part of holiday package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Stranded in location of ‘Tour’, no hotel accommodation, no way of getting to airport/hotel.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3">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members are required to obtain their own travel insurance and any cancellations are dealt with by the Tour Secretary.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7">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A8">
            <w:pPr>
              <w:spacing w:after="0" w:line="240" w:lineRule="auto"/>
              <w:rPr>
                <w:rFonts w:ascii="Lucida Sans" w:cs="Lucida Sans" w:eastAsia="Lucida Sans" w:hAnsi="Lucida Sans"/>
                <w:color w:val="000000"/>
              </w:rPr>
            </w:pPr>
            <w:r w:rsidDel="00000000" w:rsidR="00000000" w:rsidRPr="00000000">
              <w:rPr>
                <w:rtl w:val="0"/>
              </w:rPr>
              <w:t xml:space="preserve">being subject to a robbery</w:t>
            </w:r>
            <w:r w:rsidDel="00000000" w:rsidR="00000000" w:rsidRPr="00000000">
              <w:rPr>
                <w:rFonts w:ascii="Lucida Sans" w:cs="Lucida Sans" w:eastAsia="Lucida Sans" w:hAnsi="Lucida Sans"/>
                <w:color w:val="000000"/>
                <w:rtl w:val="0"/>
              </w:rPr>
              <w:t xml:space="preserve"> and/or assaulted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Loss of possessions, decrease in mental health/ wellbeing potentially leading to anxiety and/or depression, physical injuries e.g. bruising, laceration, in extreme circumstances loss of consciousness and death.</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E">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Any incidents are immediately reported, and the police called on 999 (or emergency number for the country). Where immediate first aid is required an ambulance is called on 999 (or emergency number for the country). All members are told to stay together in groups, and no one is to be left alone. All non-necessary valuables are advised not taken out.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2">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3">
            <w:pPr>
              <w:spacing w:after="0" w:line="240" w:lineRule="auto"/>
              <w:rPr/>
            </w:pPr>
            <w:r w:rsidDel="00000000" w:rsidR="00000000" w:rsidRPr="00000000">
              <w:rPr>
                <w:rtl w:val="0"/>
              </w:rPr>
              <w:t xml:space="preserve">Covid 19</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B4">
            <w:pPr>
              <w:spacing w:after="0" w:line="240" w:lineRule="auto"/>
              <w:rPr/>
            </w:pPr>
            <w:r w:rsidDel="00000000" w:rsidR="00000000" w:rsidRPr="00000000">
              <w:rPr>
                <w:rtl w:val="0"/>
              </w:rPr>
              <w:t xml:space="preserve">Those infected passing the virus onto others.</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B5">
            <w:pPr>
              <w:spacing w:after="0" w:line="240" w:lineRule="auto"/>
              <w:rPr/>
            </w:pPr>
            <w:r w:rsidDel="00000000" w:rsidR="00000000" w:rsidRPr="00000000">
              <w:rPr>
                <w:rtl w:val="0"/>
              </w:rPr>
              <w:t xml:space="preserve">Swim Team members</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B6">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B7">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8">
            <w:pPr>
              <w:spacing w:after="0" w:line="240" w:lineRule="auto"/>
              <w:jc w:val="cente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B9">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7">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0BA">
            <w:pPr>
              <w:spacing w:after="0" w:line="240" w:lineRule="auto"/>
              <w:rPr>
                <w:b w:val="1"/>
              </w:rPr>
            </w:pPr>
            <w:r w:rsidDel="00000000" w:rsidR="00000000" w:rsidRPr="00000000">
              <w:rPr>
                <w:rtl w:val="0"/>
              </w:rPr>
            </w:r>
          </w:p>
          <w:p w:rsidR="00000000" w:rsidDel="00000000" w:rsidP="00000000" w:rsidRDefault="00000000" w:rsidRPr="00000000" w14:paraId="000000BB">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0BC">
            <w:pPr>
              <w:spacing w:after="0" w:line="240" w:lineRule="auto"/>
              <w:rPr>
                <w:b w:val="1"/>
              </w:rPr>
            </w:pPr>
            <w:r w:rsidDel="00000000" w:rsidR="00000000" w:rsidRPr="00000000">
              <w:rPr>
                <w:rtl w:val="0"/>
              </w:rPr>
            </w:r>
          </w:p>
          <w:p w:rsidR="00000000" w:rsidDel="00000000" w:rsidP="00000000" w:rsidRDefault="00000000" w:rsidRPr="00000000" w14:paraId="000000BD">
            <w:pPr>
              <w:spacing w:after="0" w:line="240" w:lineRule="auto"/>
              <w:rPr>
                <w:b w:val="1"/>
              </w:rPr>
            </w:pPr>
            <w:r w:rsidDel="00000000" w:rsidR="00000000" w:rsidRPr="00000000">
              <w:rPr>
                <w:b w:val="1"/>
                <w:rtl w:val="0"/>
              </w:rPr>
              <w:t xml:space="preserve">Those members in close contact with any positive cases will also be expected to comply with any necessary guidelines.</w:t>
            </w:r>
          </w:p>
          <w:p w:rsidR="00000000" w:rsidDel="00000000" w:rsidP="00000000" w:rsidRDefault="00000000" w:rsidRPr="00000000" w14:paraId="000000BE">
            <w:pPr>
              <w:spacing w:after="0" w:line="240" w:lineRule="auto"/>
              <w:rPr>
                <w:b w:val="1"/>
              </w:rPr>
            </w:pPr>
            <w:r w:rsidDel="00000000" w:rsidR="00000000" w:rsidRPr="00000000">
              <w:rPr>
                <w:rtl w:val="0"/>
              </w:rPr>
            </w:r>
          </w:p>
          <w:p w:rsidR="00000000" w:rsidDel="00000000" w:rsidP="00000000" w:rsidRDefault="00000000" w:rsidRPr="00000000" w14:paraId="000000BF">
            <w:pPr>
              <w:spacing w:after="0" w:line="240" w:lineRule="auto"/>
              <w:rPr>
                <w:b w:val="1"/>
              </w:rPr>
            </w:pPr>
            <w:r w:rsidDel="00000000" w:rsidR="00000000" w:rsidRPr="00000000">
              <w:rPr>
                <w:b w:val="1"/>
                <w:rtl w:val="0"/>
              </w:rPr>
              <w:t xml:space="preserve">For those who have developed Covid 19, the committee will contact the SUSU to ensure the necessary people are identified and encouraged to get tested/ isolate if required by Public Health England.</w:t>
            </w:r>
          </w:p>
          <w:p w:rsidR="00000000" w:rsidDel="00000000" w:rsidP="00000000" w:rsidRDefault="00000000" w:rsidRPr="00000000" w14:paraId="000000C0">
            <w:pPr>
              <w:spacing w:after="0" w:line="240" w:lineRule="auto"/>
              <w:rPr>
                <w:b w:val="1"/>
              </w:rPr>
            </w:pPr>
            <w:r w:rsidDel="00000000" w:rsidR="00000000" w:rsidRPr="00000000">
              <w:rPr>
                <w:rtl w:val="0"/>
              </w:rPr>
            </w:r>
          </w:p>
          <w:p w:rsidR="00000000" w:rsidDel="00000000" w:rsidP="00000000" w:rsidRDefault="00000000" w:rsidRPr="00000000" w14:paraId="000000C1">
            <w:pPr>
              <w:spacing w:after="0" w:line="240" w:lineRule="auto"/>
              <w:rPr>
                <w:b w:val="1"/>
              </w:rPr>
            </w:pPr>
            <w:r w:rsidDel="00000000" w:rsidR="00000000" w:rsidRPr="00000000">
              <w:rPr>
                <w:b w:val="1"/>
                <w:rtl w:val="0"/>
              </w:rPr>
              <w:t xml:space="preserve">The full register of people attending the tour will be kept and documented throughout the trip.</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2">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3">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4">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5">
            <w:pPr>
              <w:spacing w:after="0" w:line="240" w:lineRule="auto"/>
              <w:rPr>
                <w:strike w:val="1"/>
                <w:color w:val="c64500"/>
              </w:rPr>
            </w:pPr>
            <w:r w:rsidDel="00000000" w:rsidR="00000000" w:rsidRPr="00000000">
              <w:rPr>
                <w:rtl w:val="0"/>
              </w:rPr>
            </w:r>
          </w:p>
          <w:p w:rsidR="00000000" w:rsidDel="00000000" w:rsidP="00000000" w:rsidRDefault="00000000" w:rsidRPr="00000000" w14:paraId="000000C6">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regularly cross reference the guidelines on </w:t>
            </w:r>
            <w:hyperlink r:id="rId8">
              <w:r w:rsidDel="00000000" w:rsidR="00000000" w:rsidRPr="00000000">
                <w:rPr>
                  <w:color w:val="1155cc"/>
                  <w:u w:val="single"/>
                  <w:rtl w:val="0"/>
                </w:rPr>
                <w:t xml:space="preserve">https://www.gov.uk/coronavirus</w:t>
              </w:r>
            </w:hyperlink>
            <w:r w:rsidDel="00000000" w:rsidR="00000000" w:rsidRPr="00000000">
              <w:rPr>
                <w:rtl w:val="0"/>
              </w:rPr>
              <w:t xml:space="preserve"> and also the regulations of the locations that is visiting whether this in England or abroad.1</w:t>
            </w: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C7">
            <w:pPr>
              <w:spacing w:after="0" w:line="240" w:lineRule="auto"/>
              <w:rPr/>
            </w:pPr>
            <w:r w:rsidDel="00000000" w:rsidR="00000000" w:rsidRPr="00000000">
              <w:rPr>
                <w:rtl w:val="0"/>
              </w:rPr>
              <w:t xml:space="preserve">Covid 19 Travel</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8">
            <w:pPr>
              <w:spacing w:after="0" w:line="240" w:lineRule="auto"/>
              <w:rPr/>
            </w:pPr>
            <w:r w:rsidDel="00000000" w:rsidR="00000000" w:rsidRPr="00000000">
              <w:rPr>
                <w:rtl w:val="0"/>
              </w:rPr>
              <w:t xml:space="preserve">Travelling to areas that cause risk of covid exposure to members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9">
            <w:pPr>
              <w:spacing w:after="0" w:line="240" w:lineRule="auto"/>
              <w:rPr/>
            </w:pPr>
            <w:r w:rsidDel="00000000" w:rsidR="00000000" w:rsidRPr="00000000">
              <w:rPr>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C">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D">
            <w:pPr>
              <w:spacing w:after="0" w:line="240" w:lineRule="auto"/>
              <w:rPr>
                <w:b w:val="1"/>
              </w:rPr>
            </w:pPr>
            <w:r w:rsidDel="00000000" w:rsidR="00000000" w:rsidRPr="00000000">
              <w:rPr>
                <w:b w:val="1"/>
                <w:rtl w:val="0"/>
              </w:rPr>
              <w:t xml:space="preserve">No location or location will be visited without a complete and updated risk assessment or government advisal that it is safe to do so.</w:t>
            </w:r>
          </w:p>
          <w:p w:rsidR="00000000" w:rsidDel="00000000" w:rsidP="00000000" w:rsidRDefault="00000000" w:rsidRPr="00000000" w14:paraId="000000CE">
            <w:pPr>
              <w:spacing w:after="0" w:line="240" w:lineRule="auto"/>
              <w:rPr>
                <w:b w:val="1"/>
              </w:rPr>
            </w:pPr>
            <w:r w:rsidDel="00000000" w:rsidR="00000000" w:rsidRPr="00000000">
              <w:rPr>
                <w:rtl w:val="0"/>
              </w:rPr>
            </w:r>
          </w:p>
          <w:p w:rsidR="00000000" w:rsidDel="00000000" w:rsidP="00000000" w:rsidRDefault="00000000" w:rsidRPr="00000000" w14:paraId="000000CF">
            <w:pPr>
              <w:spacing w:after="0" w:line="240" w:lineRule="auto"/>
              <w:rPr>
                <w:b w:val="1"/>
              </w:rPr>
            </w:pPr>
            <w:r w:rsidDel="00000000" w:rsidR="00000000" w:rsidRPr="00000000">
              <w:rPr>
                <w:b w:val="1"/>
                <w:rtl w:val="0"/>
              </w:rPr>
              <w:t xml:space="preserve">Interactions with the public/ other teams will be minimised if necessary and safe.</w:t>
            </w:r>
          </w:p>
          <w:p w:rsidR="00000000" w:rsidDel="00000000" w:rsidP="00000000" w:rsidRDefault="00000000" w:rsidRPr="00000000" w14:paraId="000000D0">
            <w:pPr>
              <w:spacing w:after="0" w:line="240" w:lineRule="auto"/>
              <w:rPr>
                <w:b w:val="1"/>
              </w:rPr>
            </w:pPr>
            <w:r w:rsidDel="00000000" w:rsidR="00000000" w:rsidRPr="00000000">
              <w:rPr>
                <w:rtl w:val="0"/>
              </w:rPr>
            </w:r>
          </w:p>
          <w:p w:rsidR="00000000" w:rsidDel="00000000" w:rsidP="00000000" w:rsidRDefault="00000000" w:rsidRPr="00000000" w14:paraId="000000D1">
            <w:pPr>
              <w:spacing w:after="0" w:line="240" w:lineRule="auto"/>
              <w:rPr>
                <w:b w:val="1"/>
              </w:rPr>
            </w:pPr>
            <w:r w:rsidDel="00000000" w:rsidR="00000000" w:rsidRPr="00000000">
              <w:rPr>
                <w:b w:val="1"/>
                <w:rtl w:val="0"/>
              </w:rPr>
              <w:t xml:space="preserve">All swim team members participating will be communicated with and informed about any covid related rules before the tour begins and therefore expected to comply in order to continue attending any future events.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4">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5">
            <w:pPr>
              <w:spacing w:after="0" w:line="240" w:lineRule="auto"/>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D6">
            <w:pPr>
              <w:spacing w:after="0" w:line="240" w:lineRule="auto"/>
              <w:rPr/>
            </w:pPr>
            <w:r w:rsidDel="00000000" w:rsidR="00000000" w:rsidRPr="00000000">
              <w:rPr>
                <w:rtl w:val="0"/>
              </w:rPr>
              <w:t xml:space="preserve">Covid 19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7">
            <w:pPr>
              <w:spacing w:after="0" w:line="240" w:lineRule="auto"/>
              <w:rPr/>
            </w:pPr>
            <w:r w:rsidDel="00000000" w:rsidR="00000000" w:rsidRPr="00000000">
              <w:rPr>
                <w:rtl w:val="0"/>
              </w:rPr>
              <w:t xml:space="preserve">Catching the Respiratory Disease, Issues with breathing, Coughing and general Illness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8">
            <w:pPr>
              <w:spacing w:after="0" w:line="240" w:lineRule="auto"/>
              <w:rPr/>
            </w:pPr>
            <w:r w:rsidDel="00000000" w:rsidR="00000000" w:rsidRPr="00000000">
              <w:rPr>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B">
            <w:pPr>
              <w:spacing w:after="0" w:line="240" w:lineRule="auto"/>
              <w:jc w:val="center"/>
              <w:rPr/>
            </w:pPr>
            <w:r w:rsidDel="00000000" w:rsidR="00000000" w:rsidRPr="00000000">
              <w:rPr>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C">
            <w:pPr>
              <w:spacing w:after="0" w:line="240" w:lineRule="auto"/>
              <w:rPr>
                <w:b w:val="1"/>
              </w:rPr>
            </w:pPr>
            <w:r w:rsidDel="00000000" w:rsidR="00000000" w:rsidRPr="00000000">
              <w:rPr>
                <w:b w:val="1"/>
                <w:rtl w:val="0"/>
              </w:rPr>
              <w:t xml:space="preserve">Encourage members to wash/ sanitise hands effectively when entering/ leaving areas.</w:t>
            </w:r>
          </w:p>
          <w:p w:rsidR="00000000" w:rsidDel="00000000" w:rsidP="00000000" w:rsidRDefault="00000000" w:rsidRPr="00000000" w14:paraId="000000DD">
            <w:pPr>
              <w:spacing w:after="0" w:line="240" w:lineRule="auto"/>
              <w:rPr>
                <w:b w:val="1"/>
              </w:rPr>
            </w:pPr>
            <w:r w:rsidDel="00000000" w:rsidR="00000000" w:rsidRPr="00000000">
              <w:rPr>
                <w:rtl w:val="0"/>
              </w:rPr>
            </w:r>
          </w:p>
          <w:p w:rsidR="00000000" w:rsidDel="00000000" w:rsidP="00000000" w:rsidRDefault="00000000" w:rsidRPr="00000000" w14:paraId="000000DE">
            <w:pPr>
              <w:spacing w:after="0" w:line="240" w:lineRule="auto"/>
              <w:rPr>
                <w:b w:val="1"/>
              </w:rPr>
            </w:pPr>
            <w:r w:rsidDel="00000000" w:rsidR="00000000" w:rsidRPr="00000000">
              <w:rPr>
                <w:b w:val="1"/>
                <w:rtl w:val="0"/>
              </w:rPr>
              <w:t xml:space="preserve">Face masks to be worn in any location where this is a requirement</w:t>
            </w:r>
          </w:p>
          <w:p w:rsidR="00000000" w:rsidDel="00000000" w:rsidP="00000000" w:rsidRDefault="00000000" w:rsidRPr="00000000" w14:paraId="000000DF">
            <w:pPr>
              <w:spacing w:after="0" w:line="240" w:lineRule="auto"/>
              <w:rPr>
                <w:b w:val="1"/>
              </w:rPr>
            </w:pPr>
            <w:r w:rsidDel="00000000" w:rsidR="00000000" w:rsidRPr="00000000">
              <w:rPr>
                <w:rtl w:val="0"/>
              </w:rPr>
            </w:r>
          </w:p>
          <w:p w:rsidR="00000000" w:rsidDel="00000000" w:rsidP="00000000" w:rsidRDefault="00000000" w:rsidRPr="00000000" w14:paraId="000000E0">
            <w:pPr>
              <w:spacing w:after="0" w:line="240" w:lineRule="auto"/>
              <w:rPr>
                <w:b w:val="1"/>
              </w:rPr>
            </w:pPr>
            <w:r w:rsidDel="00000000" w:rsidR="00000000" w:rsidRPr="00000000">
              <w:rPr>
                <w:b w:val="1"/>
                <w:rtl w:val="0"/>
              </w:rPr>
              <w:t xml:space="preserve">Country/ location selected must comply with the government green travel list at the time.</w:t>
            </w:r>
          </w:p>
          <w:p w:rsidR="00000000" w:rsidDel="00000000" w:rsidP="00000000" w:rsidRDefault="00000000" w:rsidRPr="00000000" w14:paraId="000000E1">
            <w:pPr>
              <w:spacing w:after="0" w:line="240" w:lineRule="auto"/>
              <w:rPr>
                <w:b w:val="1"/>
              </w:rPr>
            </w:pPr>
            <w:r w:rsidDel="00000000" w:rsidR="00000000" w:rsidRPr="00000000">
              <w:rPr>
                <w:rtl w:val="0"/>
              </w:rPr>
            </w:r>
          </w:p>
          <w:p w:rsidR="00000000" w:rsidDel="00000000" w:rsidP="00000000" w:rsidRDefault="00000000" w:rsidRPr="00000000" w14:paraId="000000E2">
            <w:pPr>
              <w:spacing w:after="0" w:line="240" w:lineRule="auto"/>
              <w:rPr>
                <w:b w:val="1"/>
              </w:rPr>
            </w:pPr>
            <w:r w:rsidDel="00000000" w:rsidR="00000000" w:rsidRPr="00000000">
              <w:rPr>
                <w:b w:val="1"/>
                <w:rtl w:val="0"/>
              </w:rPr>
              <w:t xml:space="preserve">Avoid sharing solid objects where possible such as cups/ cutlery. Regularly promote washing and cleaning things.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3">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5">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6">
            <w:pPr>
              <w:spacing w:after="0" w:line="240" w:lineRule="auto"/>
              <w:rPr/>
            </w:pPr>
            <w:r w:rsidDel="00000000" w:rsidR="00000000" w:rsidRPr="00000000">
              <w:rPr>
                <w:rtl w:val="0"/>
              </w:rPr>
              <w:t xml:space="preserve">The club will remain up to date and cooperative with the information published through the universities covid measures at: </w:t>
            </w:r>
            <w:hyperlink r:id="rId9">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E9">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EF">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F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F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F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0F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F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0FA">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F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C">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E">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FF">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00">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10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03">
            <w:pPr>
              <w:spacing w:after="100" w:lineRule="auto"/>
              <w:rPr>
                <w:rFonts w:ascii="Lucida Sans" w:cs="Lucida Sans" w:eastAsia="Lucida Sans" w:hAnsi="Lucida Sans"/>
                <w:color w:val="000000"/>
              </w:rPr>
            </w:pPr>
            <w:r w:rsidDel="00000000" w:rsidR="00000000" w:rsidRPr="00000000">
              <w:rPr/>
              <w:drawing>
                <wp:inline distB="114300" distT="114300" distL="114300" distR="114300">
                  <wp:extent cx="2304695" cy="722503"/>
                  <wp:effectExtent b="0" l="0" r="0" t="0"/>
                  <wp:docPr id="11" name="image1.gif"/>
                  <a:graphic>
                    <a:graphicData uri="http://schemas.openxmlformats.org/drawingml/2006/picture">
                      <pic:pic>
                        <pic:nvPicPr>
                          <pic:cNvPr id="0" name="image1.gif"/>
                          <pic:cNvPicPr preferRelativeResize="0"/>
                        </pic:nvPicPr>
                        <pic:blipFill>
                          <a:blip r:embed="rId10"/>
                          <a:srcRect b="0" l="0" r="0" t="0"/>
                          <a:stretch>
                            <a:fillRect/>
                          </a:stretch>
                        </pic:blipFill>
                        <pic:spPr>
                          <a:xfrm>
                            <a:off x="0" y="0"/>
                            <a:ext cx="2304695" cy="722503"/>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05">
            <w:pPr>
              <w:spacing w:after="0" w:line="240" w:lineRule="auto"/>
              <w:rPr/>
            </w:pPr>
            <w:r w:rsidDel="00000000" w:rsidR="00000000" w:rsidRPr="00000000">
              <w:rPr>
                <w:rFonts w:ascii="Lucida Sans" w:cs="Lucida Sans" w:eastAsia="Lucida Sans" w:hAnsi="Lucida Sans"/>
                <w:color w:val="000000"/>
                <w:rtl w:val="0"/>
              </w:rPr>
              <w:t xml:space="preserve">Responsible committee member signature:</w:t>
            </w:r>
            <w:r w:rsidDel="00000000" w:rsidR="00000000" w:rsidRPr="00000000">
              <w:rPr>
                <w:rtl w:val="0"/>
              </w:rPr>
              <w:t xml:space="preserve"> </w:t>
            </w:r>
          </w:p>
          <w:p w:rsidR="00000000" w:rsidDel="00000000" w:rsidP="00000000" w:rsidRDefault="00000000" w:rsidRPr="00000000" w14:paraId="00000106">
            <w:pPr>
              <w:spacing w:after="100" w:lineRule="auto"/>
              <w:rPr>
                <w:rFonts w:ascii="Lucida Sans" w:cs="Lucida Sans" w:eastAsia="Lucida Sans" w:hAnsi="Lucida Sans"/>
                <w:color w:val="000000"/>
              </w:rPr>
            </w:pPr>
            <w:r w:rsidDel="00000000" w:rsidR="00000000" w:rsidRPr="00000000">
              <w:rPr/>
              <w:drawing>
                <wp:inline distB="114300" distT="114300" distL="114300" distR="114300">
                  <wp:extent cx="2690813" cy="686211"/>
                  <wp:effectExtent b="0" l="0" r="0" t="0"/>
                  <wp:docPr id="1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690813" cy="686211"/>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10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JOSEPHINE BEAGLEY</w:t>
            </w:r>
          </w:p>
        </w:tc>
        <w:tc>
          <w:tcPr>
            <w:tcBorders>
              <w:top w:color="000000" w:space="0" w:sz="0" w:val="nil"/>
              <w:left w:color="000000" w:space="0" w:sz="0" w:val="nil"/>
            </w:tcBorders>
            <w:vAlign w:val="bottom"/>
          </w:tcPr>
          <w:p w:rsidR="00000000" w:rsidDel="00000000" w:rsidP="00000000" w:rsidRDefault="00000000" w:rsidRPr="00000000" w14:paraId="0000010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20</w:t>
            </w:r>
            <w:r w:rsidDel="00000000" w:rsidR="00000000" w:rsidRPr="00000000">
              <w:rPr>
                <w:rFonts w:ascii="Lucida Sans" w:cs="Lucida Sans" w:eastAsia="Lucida Sans" w:hAnsi="Lucida Sans"/>
                <w:color w:val="000000"/>
                <w:rtl w:val="0"/>
              </w:rPr>
              <w:t xml:space="preserve">/0</w:t>
            </w:r>
            <w:r w:rsidDel="00000000" w:rsidR="00000000" w:rsidRPr="00000000">
              <w:rPr>
                <w:rtl w:val="0"/>
              </w:rPr>
              <w:t xml:space="preserve">7</w:t>
            </w:r>
            <w:r w:rsidDel="00000000" w:rsidR="00000000" w:rsidRPr="00000000">
              <w:rPr>
                <w:rFonts w:ascii="Lucida Sans" w:cs="Lucida Sans" w:eastAsia="Lucida Sans" w:hAnsi="Lucida Sans"/>
                <w:color w:val="000000"/>
                <w:rtl w:val="0"/>
              </w:rPr>
              <w:t xml:space="preserve">/202</w:t>
            </w:r>
            <w:r w:rsidDel="00000000" w:rsidR="00000000" w:rsidRPr="00000000">
              <w:rPr>
                <w:rtl w:val="0"/>
              </w:rPr>
              <w:t xml:space="preserve">2</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10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w:t>
            </w:r>
            <w:r w:rsidDel="00000000" w:rsidR="00000000" w:rsidRPr="00000000">
              <w:rPr>
                <w:rtl w:val="0"/>
              </w:rPr>
              <w:t xml:space="preserve"> SZYMON WOJCIK</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0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20</w:t>
            </w:r>
            <w:r w:rsidDel="00000000" w:rsidR="00000000" w:rsidRPr="00000000">
              <w:rPr>
                <w:rFonts w:ascii="Lucida Sans" w:cs="Lucida Sans" w:eastAsia="Lucida Sans" w:hAnsi="Lucida Sans"/>
                <w:color w:val="000000"/>
                <w:rtl w:val="0"/>
              </w:rPr>
              <w:t xml:space="preserve">/0</w:t>
            </w:r>
            <w:r w:rsidDel="00000000" w:rsidR="00000000" w:rsidRPr="00000000">
              <w:rPr>
                <w:rtl w:val="0"/>
              </w:rPr>
              <w:t xml:space="preserve">7</w:t>
            </w:r>
            <w:r w:rsidDel="00000000" w:rsidR="00000000" w:rsidRPr="00000000">
              <w:rPr>
                <w:rFonts w:ascii="Lucida Sans" w:cs="Lucida Sans" w:eastAsia="Lucida Sans" w:hAnsi="Lucida Sans"/>
                <w:color w:val="000000"/>
                <w:rtl w:val="0"/>
              </w:rPr>
              <w:t xml:space="preserve">/202</w:t>
            </w:r>
            <w:r w:rsidDel="00000000" w:rsidR="00000000" w:rsidRPr="00000000">
              <w:rPr>
                <w:rtl w:val="0"/>
              </w:rPr>
              <w:t xml:space="preserve">2</w:t>
            </w:r>
            <w:r w:rsidDel="00000000" w:rsidR="00000000" w:rsidRPr="00000000">
              <w:rPr>
                <w:rtl w:val="0"/>
              </w:rPr>
            </w:r>
          </w:p>
        </w:tc>
      </w:tr>
    </w:tbl>
    <w:p w:rsidR="00000000" w:rsidDel="00000000" w:rsidP="00000000" w:rsidRDefault="00000000" w:rsidRPr="00000000" w14:paraId="0000010C">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0E">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0F">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10">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12">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13">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1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17">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1A">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1B">
            <w:pPr>
              <w:rPr>
                <w:sz w:val="24"/>
                <w:szCs w:val="24"/>
              </w:rPr>
            </w:pPr>
            <w:r w:rsidDel="00000000" w:rsidR="00000000" w:rsidRPr="00000000">
              <w:rPr>
                <w:rtl w:val="0"/>
              </w:rPr>
            </w:r>
          </w:p>
        </w:tc>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1E">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1F">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22">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45">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4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53">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5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55">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5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5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5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5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5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5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5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5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5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6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6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6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6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6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6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6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67">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9"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168">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69">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6B">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6C">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6D">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6E">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6F">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70">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71">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72">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73">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74">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gif"/><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thampton.ac.uk/coronavirus.pag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coronavirus" TargetMode="External"/><Relationship Id="rId8"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fD0dJwBZcn+wr3AjzqOn1Uwyg==">AMUW2mW98TCWWKms9Y4bn79LySYzbwogahch6TVGuOk80eH1/fPKHj8cnZNM4R7kpASak0Y1UE/fvp+cp2i+QL1O4jfwRDZ+y1l0enhaZY7NEN3zj9xQHTsLf44emYp1MWP5o9KQABLw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2020-08-25T18:01:00Z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