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7ACAF09" w:rsidR="008A6B6B" w:rsidRPr="00A156C3" w:rsidRDefault="00283C40"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Table Tennis Club Generic </w:t>
            </w:r>
            <w:r w:rsidR="008A6B6B" w:rsidRPr="00A919A0">
              <w:rPr>
                <w:rFonts w:ascii="Verdana" w:eastAsia="Times New Roman" w:hAnsi="Verdana" w:cs="Times New Roman"/>
                <w:bCs/>
              </w:rPr>
              <w:t>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4AD5826" w:rsidR="008A6B6B" w:rsidRPr="00A156C3" w:rsidRDefault="00875563"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23.0</w:t>
            </w:r>
            <w:r w:rsidR="00BE3AFF">
              <w:rPr>
                <w:rFonts w:ascii="Verdana" w:eastAsia="Times New Roman" w:hAnsi="Verdana" w:cs="Times New Roman"/>
                <w:b/>
                <w:lang w:eastAsia="en-GB"/>
              </w:rPr>
              <w:t>9</w:t>
            </w:r>
            <w:r>
              <w:rPr>
                <w:rFonts w:ascii="Verdana" w:eastAsia="Times New Roman" w:hAnsi="Verdana" w:cs="Times New Roman"/>
                <w:b/>
                <w:lang w:eastAsia="en-GB"/>
              </w:rPr>
              <w:t>.25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CB3D498" w:rsidR="00E4228F" w:rsidRPr="00E4228F" w:rsidRDefault="00283C40" w:rsidP="00E4228F">
            <w:pPr>
              <w:pStyle w:val="ListParagraph"/>
              <w:ind w:left="170"/>
              <w:rPr>
                <w:rFonts w:ascii="Verdana" w:eastAsia="Times New Roman" w:hAnsi="Verdana" w:cs="Times New Roman"/>
                <w:b/>
                <w:i/>
                <w:iCs/>
                <w:lang w:eastAsia="en-GB"/>
              </w:rPr>
            </w:pPr>
            <w:r w:rsidRPr="00B200C5">
              <w:rPr>
                <w:rFonts w:ascii="Verdana" w:eastAsia="Times New Roman" w:hAnsi="Verdana" w:cs="Times New Roman"/>
                <w:bCs/>
                <w:i/>
                <w:iCs/>
                <w:color w:val="000000" w:themeColor="text1"/>
              </w:rPr>
              <w:t>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0EF6442" w:rsidR="00E4228F" w:rsidRPr="00A156C3" w:rsidRDefault="00875563"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Chin Long Chan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822114C" w:rsidR="00E4228F" w:rsidRPr="007A7454" w:rsidRDefault="00283C40" w:rsidP="00E4228F">
            <w:pPr>
              <w:rPr>
                <w:rFonts w:ascii="Verdana" w:eastAsia="Times New Roman" w:hAnsi="Verdana" w:cs="Times New Roman"/>
                <w:b/>
                <w:i/>
                <w:lang w:eastAsia="en-GB"/>
              </w:rPr>
            </w:pPr>
            <w:r>
              <w:rPr>
                <w:rFonts w:ascii="Verdana" w:eastAsia="Times New Roman" w:hAnsi="Verdana" w:cs="Times New Roman"/>
                <w:b/>
                <w:i/>
                <w:lang w:eastAsia="en-GB"/>
              </w:rPr>
              <w:t>Yeap Guang-Qian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4D98B138" w:rsidR="00D24761" w:rsidRPr="00B200C5" w:rsidRDefault="001E6A26" w:rsidP="00E4228F">
            <w:pPr>
              <w:pStyle w:val="ListParagraph"/>
              <w:ind w:left="170"/>
              <w:rPr>
                <w:rFonts w:ascii="Verdana" w:eastAsia="Times New Roman" w:hAnsi="Verdana" w:cs="Times New Roman"/>
                <w:b/>
                <w:i/>
                <w:color w:val="000000" w:themeColor="text1"/>
                <w:lang w:eastAsia="en-GB"/>
              </w:rPr>
            </w:pPr>
            <w:r w:rsidRPr="00B200C5">
              <w:rPr>
                <w:rFonts w:ascii="Verdana" w:eastAsia="Times New Roman" w:hAnsi="Verdana" w:cs="Times New Roman"/>
                <w:bCs/>
                <w:i/>
                <w:color w:val="000000" w:themeColor="text1"/>
                <w:lang w:eastAsia="en-GB"/>
              </w:rPr>
              <w:t>This Risk assessment is for general recreational and practice sessions hosted by the table tennis club, taking place in the cube in building 42</w:t>
            </w:r>
            <w:r w:rsidR="00B200C5" w:rsidRPr="00B200C5">
              <w:rPr>
                <w:rFonts w:ascii="Verdana" w:eastAsia="Times New Roman" w:hAnsi="Verdana" w:cs="Times New Roman"/>
                <w:bCs/>
                <w:i/>
                <w:color w:val="000000" w:themeColor="text1"/>
                <w:lang w:eastAsia="en-GB"/>
              </w:rPr>
              <w:t xml:space="preserve"> on Tuesdays 5pm-</w:t>
            </w:r>
            <w:r w:rsidR="00BE3AFF">
              <w:rPr>
                <w:rFonts w:ascii="Verdana" w:eastAsia="Times New Roman" w:hAnsi="Verdana" w:cs="Times New Roman"/>
                <w:bCs/>
                <w:i/>
                <w:color w:val="000000" w:themeColor="text1"/>
                <w:lang w:eastAsia="en-GB"/>
              </w:rPr>
              <w:t>7</w:t>
            </w:r>
            <w:r w:rsidR="00B200C5" w:rsidRPr="00B200C5">
              <w:rPr>
                <w:rFonts w:ascii="Verdana" w:eastAsia="Times New Roman" w:hAnsi="Verdana" w:cs="Times New Roman"/>
                <w:bCs/>
                <w:i/>
                <w:color w:val="000000" w:themeColor="text1"/>
                <w:lang w:eastAsia="en-GB"/>
              </w:rPr>
              <w:t>pm, Saturdays and Sundays 12pm-3pm</w:t>
            </w:r>
            <w:r w:rsidRPr="00B200C5">
              <w:rPr>
                <w:rFonts w:ascii="Verdana" w:eastAsia="Times New Roman" w:hAnsi="Verdana" w:cs="Times New Roman"/>
                <w:bCs/>
                <w:i/>
                <w:color w:val="000000" w:themeColor="text1"/>
                <w:lang w:eastAsia="en-GB"/>
              </w:rPr>
              <w:t>. In these session tables, nets, bats and balls are provided and we play table tennis. These sessions are managed by the committee members.</w:t>
            </w:r>
          </w:p>
          <w:p w14:paraId="6D19701E" w14:textId="77777777" w:rsidR="00D24761" w:rsidRPr="00B200C5" w:rsidRDefault="00D24761" w:rsidP="00B0462D">
            <w:pPr>
              <w:rPr>
                <w:rFonts w:ascii="Verdana" w:eastAsia="Times New Roman" w:hAnsi="Verdana" w:cs="Times New Roman"/>
                <w:b/>
                <w:i/>
                <w:color w:val="000000" w:themeColor="text1"/>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1199FD60" w:rsidR="00454E9E" w:rsidRPr="00283C40" w:rsidRDefault="00454E9E" w:rsidP="00454E9E">
            <w:pPr>
              <w:rPr>
                <w:color w:val="FF0000"/>
              </w:rPr>
            </w:pP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5B9A11A2" w:rsidR="00D81536" w:rsidRPr="000742F8" w:rsidRDefault="00D81536" w:rsidP="00FB5560">
            <w:pPr>
              <w:spacing w:after="200" w:line="276" w:lineRule="auto"/>
              <w:rPr>
                <w:rFonts w:cstheme="minorHAnsi"/>
              </w:rPr>
            </w:pP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2"/>
        <w:gridCol w:w="1934"/>
        <w:gridCol w:w="1469"/>
        <w:gridCol w:w="1018"/>
        <w:gridCol w:w="4117"/>
        <w:gridCol w:w="1469"/>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3E14173" w:rsidR="00C642F4" w:rsidRPr="00957A37" w:rsidRDefault="001E6A2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2F258000" w:rsidR="00C642F4" w:rsidRPr="00957A37" w:rsidRDefault="001E6A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Individual risk Assessments to be undertaken for specific events not covered by this risk assessment.</w:t>
            </w:r>
          </w:p>
        </w:tc>
        <w:tc>
          <w:tcPr>
            <w:tcW w:w="602" w:type="pct"/>
          </w:tcPr>
          <w:p w14:paraId="3C5F048F" w14:textId="677B051B" w:rsidR="00C642F4" w:rsidRPr="00957A37" w:rsidRDefault="001E6A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319" w:type="pct"/>
          </w:tcPr>
          <w:p w14:paraId="3C5F0490" w14:textId="4B52B63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01FFBF1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1C1AF8DC" w:rsidR="00C642F4" w:rsidRPr="00957A37" w:rsidRDefault="001E6A2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2BBAB014" w:rsidR="00C642F4" w:rsidRPr="00957A37" w:rsidRDefault="001E6A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to read the SUSU expect</w:t>
            </w:r>
            <w:r w:rsidR="00B200C5">
              <w:rPr>
                <w:rFonts w:ascii="Lucida Sans" w:eastAsia="Times New Roman" w:hAnsi="Lucida Sans" w:cs="Arial"/>
                <w:color w:val="000000"/>
                <w:szCs w:val="20"/>
              </w:rPr>
              <w:t xml:space="preserve"> </w:t>
            </w:r>
            <w:r>
              <w:rPr>
                <w:rFonts w:ascii="Lucida Sans" w:eastAsia="Times New Roman" w:hAnsi="Lucida Sans" w:cs="Arial"/>
                <w:color w:val="000000"/>
                <w:szCs w:val="20"/>
              </w:rPr>
              <w:t>respect policy.</w:t>
            </w:r>
          </w:p>
        </w:tc>
        <w:tc>
          <w:tcPr>
            <w:tcW w:w="602" w:type="pct"/>
          </w:tcPr>
          <w:p w14:paraId="3C5F0496" w14:textId="3F98C0C3" w:rsidR="00C642F4" w:rsidRPr="00957A37" w:rsidRDefault="001E6A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319" w:type="pct"/>
          </w:tcPr>
          <w:p w14:paraId="3C5F0497" w14:textId="4620080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55DFB3C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52DEFC0" w:rsidR="00C642F4" w:rsidRPr="00957A37" w:rsidRDefault="00B200C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members to have read and signed a copy of the policy by the target date.</w:t>
            </w:r>
          </w:p>
        </w:tc>
      </w:tr>
      <w:tr w:rsidR="00C642F4" w:rsidRPr="00957A37" w14:paraId="3C5F04A1" w14:textId="77777777" w:rsidTr="008C216A">
        <w:trPr>
          <w:trHeight w:val="574"/>
        </w:trPr>
        <w:tc>
          <w:tcPr>
            <w:tcW w:w="184" w:type="pct"/>
          </w:tcPr>
          <w:p w14:paraId="3C5F049B" w14:textId="60FECC17" w:rsidR="00C642F4" w:rsidRPr="00957A37" w:rsidRDefault="00B200C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0B42C745" w:rsidR="00C642F4" w:rsidRPr="00957A37" w:rsidRDefault="00B200C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Buying a First Aid kit</w:t>
            </w:r>
          </w:p>
        </w:tc>
        <w:tc>
          <w:tcPr>
            <w:tcW w:w="602" w:type="pct"/>
          </w:tcPr>
          <w:p w14:paraId="3C5F049D" w14:textId="3DBA0FE1" w:rsidR="00C642F4" w:rsidRPr="00957A37" w:rsidRDefault="00B200C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w:t>
            </w:r>
          </w:p>
        </w:tc>
        <w:tc>
          <w:tcPr>
            <w:tcW w:w="319" w:type="pct"/>
          </w:tcPr>
          <w:p w14:paraId="3C5F049E" w14:textId="17D1C5A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27C0AF1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4CB45DCB" w:rsidR="00C642F4" w:rsidRPr="00957A37" w:rsidRDefault="00B200C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First Aid Kit available and stored for easy potential access during sessions.</w:t>
            </w: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2D4B26C6" w:rsidR="00C642F4" w:rsidRPr="00B200C5" w:rsidRDefault="00C642F4" w:rsidP="00124F67">
            <w:pPr>
              <w:autoSpaceDE w:val="0"/>
              <w:autoSpaceDN w:val="0"/>
              <w:adjustRightInd w:val="0"/>
              <w:spacing w:after="0" w:line="240" w:lineRule="auto"/>
              <w:outlineLvl w:val="0"/>
              <w:rPr>
                <w:rFonts w:ascii="Blackadder ITC" w:eastAsia="Times New Roman" w:hAnsi="Blackadder ITC" w:cs="Arial"/>
                <w:color w:val="000000"/>
                <w:szCs w:val="20"/>
              </w:rPr>
            </w:pPr>
            <w:r w:rsidRPr="00957A37">
              <w:rPr>
                <w:rFonts w:ascii="Lucida Sans" w:eastAsia="Times New Roman" w:hAnsi="Lucida Sans" w:cs="Arial"/>
                <w:color w:val="000000"/>
                <w:szCs w:val="20"/>
              </w:rPr>
              <w:t>Print name:</w:t>
            </w:r>
            <w:r w:rsidR="00B200C5">
              <w:rPr>
                <w:rFonts w:ascii="Lucida Sans" w:eastAsia="Times New Roman" w:hAnsi="Lucida Sans" w:cs="Arial"/>
                <w:color w:val="000000"/>
                <w:szCs w:val="20"/>
              </w:rPr>
              <w:t xml:space="preserve"> </w:t>
            </w:r>
            <w:r w:rsidR="00875563">
              <w:rPr>
                <w:rFonts w:ascii="Blackadder ITC" w:eastAsia="Times New Roman" w:hAnsi="Blackadder ITC" w:cs="Arial"/>
                <w:color w:val="000000"/>
                <w:szCs w:val="20"/>
              </w:rPr>
              <w:t>Chin Long Chan</w:t>
            </w:r>
          </w:p>
        </w:tc>
        <w:tc>
          <w:tcPr>
            <w:tcW w:w="254" w:type="pct"/>
            <w:tcBorders>
              <w:top w:val="nil"/>
              <w:left w:val="nil"/>
            </w:tcBorders>
          </w:tcPr>
          <w:p w14:paraId="3C5F04C4" w14:textId="0519EDD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5563">
              <w:rPr>
                <w:rFonts w:ascii="Lucida Sans" w:eastAsia="Times New Roman" w:hAnsi="Lucida Sans" w:cs="Arial"/>
                <w:color w:val="000000"/>
                <w:szCs w:val="20"/>
              </w:rPr>
              <w:t xml:space="preserve"> 23.0</w:t>
            </w:r>
            <w:r w:rsidR="00BE3AFF">
              <w:rPr>
                <w:rFonts w:ascii="Lucida Sans" w:eastAsia="Times New Roman" w:hAnsi="Lucida Sans" w:cs="Arial"/>
                <w:color w:val="000000"/>
                <w:szCs w:val="20"/>
              </w:rPr>
              <w:t>9</w:t>
            </w:r>
            <w:r w:rsidR="00875563">
              <w:rPr>
                <w:rFonts w:ascii="Lucida Sans" w:eastAsia="Times New Roman" w:hAnsi="Lucida Sans" w:cs="Arial"/>
                <w:color w:val="000000"/>
                <w:szCs w:val="20"/>
              </w:rPr>
              <w:t>.2025</w:t>
            </w:r>
          </w:p>
        </w:tc>
        <w:tc>
          <w:tcPr>
            <w:tcW w:w="1745" w:type="pct"/>
            <w:gridSpan w:val="2"/>
            <w:tcBorders>
              <w:top w:val="nil"/>
              <w:right w:val="nil"/>
            </w:tcBorders>
          </w:tcPr>
          <w:p w14:paraId="3C5F04C5" w14:textId="0730DE54" w:rsidR="00C642F4" w:rsidRPr="00B200C5" w:rsidRDefault="00C642F4" w:rsidP="00124F67">
            <w:pPr>
              <w:autoSpaceDE w:val="0"/>
              <w:autoSpaceDN w:val="0"/>
              <w:adjustRightInd w:val="0"/>
              <w:spacing w:after="0" w:line="240" w:lineRule="auto"/>
              <w:outlineLvl w:val="0"/>
              <w:rPr>
                <w:rFonts w:ascii="Blackadder ITC" w:eastAsia="Times New Roman" w:hAnsi="Blackadder ITC" w:cs="Arial"/>
                <w:color w:val="000000"/>
                <w:szCs w:val="20"/>
              </w:rPr>
            </w:pPr>
            <w:r w:rsidRPr="00957A37">
              <w:rPr>
                <w:rFonts w:ascii="Lucida Sans" w:eastAsia="Times New Roman" w:hAnsi="Lucida Sans" w:cs="Arial"/>
                <w:color w:val="000000"/>
                <w:szCs w:val="20"/>
              </w:rPr>
              <w:t>Print name:</w:t>
            </w:r>
            <w:r w:rsidR="00B200C5">
              <w:rPr>
                <w:rFonts w:ascii="Lucida Sans" w:eastAsia="Times New Roman" w:hAnsi="Lucida Sans" w:cs="Arial"/>
                <w:color w:val="000000"/>
                <w:szCs w:val="20"/>
              </w:rPr>
              <w:t xml:space="preserve"> </w:t>
            </w:r>
            <w:r w:rsidR="00B200C5">
              <w:rPr>
                <w:rFonts w:ascii="Blackadder ITC" w:eastAsia="Times New Roman" w:hAnsi="Blackadder ITC" w:cs="Arial"/>
                <w:color w:val="000000"/>
                <w:szCs w:val="20"/>
              </w:rPr>
              <w:t>Yeap Guang-Qian</w:t>
            </w:r>
          </w:p>
        </w:tc>
        <w:tc>
          <w:tcPr>
            <w:tcW w:w="580" w:type="pct"/>
            <w:tcBorders>
              <w:top w:val="nil"/>
              <w:left w:val="nil"/>
            </w:tcBorders>
          </w:tcPr>
          <w:p w14:paraId="3C5F04C6" w14:textId="2C8B657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5563">
              <w:rPr>
                <w:rFonts w:ascii="Lucida Sans" w:eastAsia="Times New Roman" w:hAnsi="Lucida Sans" w:cs="Arial"/>
                <w:color w:val="000000"/>
                <w:szCs w:val="20"/>
              </w:rPr>
              <w:t>: 23.0</w:t>
            </w:r>
            <w:r w:rsidR="00BE3AFF">
              <w:rPr>
                <w:rFonts w:ascii="Lucida Sans" w:eastAsia="Times New Roman" w:hAnsi="Lucida Sans" w:cs="Arial"/>
                <w:color w:val="000000"/>
                <w:szCs w:val="20"/>
              </w:rPr>
              <w:t>9</w:t>
            </w:r>
            <w:r w:rsidR="00875563">
              <w:rPr>
                <w:rFonts w:ascii="Lucida Sans" w:eastAsia="Times New Roman" w:hAnsi="Lucida Sans" w:cs="Arial"/>
                <w:color w:val="000000"/>
                <w:szCs w:val="2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val="en-US" w:eastAsia="zh-TW"/>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eastAsia="zh-TW"/>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4576" w14:textId="77777777" w:rsidR="00B8492E" w:rsidRDefault="00B8492E" w:rsidP="00AC47B4">
      <w:pPr>
        <w:spacing w:after="0" w:line="240" w:lineRule="auto"/>
      </w:pPr>
      <w:r>
        <w:separator/>
      </w:r>
    </w:p>
  </w:endnote>
  <w:endnote w:type="continuationSeparator" w:id="0">
    <w:p w14:paraId="12DCEDF2" w14:textId="77777777" w:rsidR="00B8492E" w:rsidRDefault="00B849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875563">
          <w:rPr>
            <w:noProof/>
          </w:rPr>
          <w:t>1</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8BF8" w14:textId="77777777" w:rsidR="00B8492E" w:rsidRDefault="00B8492E" w:rsidP="00AC47B4">
      <w:pPr>
        <w:spacing w:after="0" w:line="240" w:lineRule="auto"/>
      </w:pPr>
      <w:r>
        <w:separator/>
      </w:r>
    </w:p>
  </w:footnote>
  <w:footnote w:type="continuationSeparator" w:id="0">
    <w:p w14:paraId="5C069913" w14:textId="77777777" w:rsidR="00B8492E" w:rsidRDefault="00B849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829">
    <w:abstractNumId w:val="15"/>
  </w:num>
  <w:num w:numId="2" w16cid:durableId="822355449">
    <w:abstractNumId w:val="13"/>
  </w:num>
  <w:num w:numId="3" w16cid:durableId="1996761443">
    <w:abstractNumId w:val="10"/>
  </w:num>
  <w:num w:numId="4" w16cid:durableId="1917664903">
    <w:abstractNumId w:val="5"/>
  </w:num>
  <w:num w:numId="5" w16cid:durableId="1625305092">
    <w:abstractNumId w:val="1"/>
  </w:num>
  <w:num w:numId="6" w16cid:durableId="121313138">
    <w:abstractNumId w:val="12"/>
  </w:num>
  <w:num w:numId="7" w16cid:durableId="1108887828">
    <w:abstractNumId w:val="4"/>
  </w:num>
  <w:num w:numId="8" w16cid:durableId="982664053">
    <w:abstractNumId w:val="3"/>
  </w:num>
  <w:num w:numId="9" w16cid:durableId="1830320993">
    <w:abstractNumId w:val="2"/>
  </w:num>
  <w:num w:numId="10" w16cid:durableId="992760303">
    <w:abstractNumId w:val="8"/>
  </w:num>
  <w:num w:numId="11" w16cid:durableId="1808012999">
    <w:abstractNumId w:val="14"/>
  </w:num>
  <w:num w:numId="12" w16cid:durableId="1113595528">
    <w:abstractNumId w:val="0"/>
  </w:num>
  <w:num w:numId="13" w16cid:durableId="1254556360">
    <w:abstractNumId w:val="6"/>
  </w:num>
  <w:num w:numId="14" w16cid:durableId="781996216">
    <w:abstractNumId w:val="9"/>
  </w:num>
  <w:num w:numId="15" w16cid:durableId="521942896">
    <w:abstractNumId w:val="11"/>
  </w:num>
  <w:num w:numId="16" w16cid:durableId="2637306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0B0B"/>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E6A26"/>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3C40"/>
    <w:rsid w:val="002860FE"/>
    <w:rsid w:val="002871EB"/>
    <w:rsid w:val="00297339"/>
    <w:rsid w:val="002A2D8C"/>
    <w:rsid w:val="002A32DB"/>
    <w:rsid w:val="002A35C1"/>
    <w:rsid w:val="002A631F"/>
    <w:rsid w:val="002A7C41"/>
    <w:rsid w:val="002B246E"/>
    <w:rsid w:val="002B2901"/>
    <w:rsid w:val="002C0286"/>
    <w:rsid w:val="002C133D"/>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556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FEC"/>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00C5"/>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92E"/>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3AFF"/>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4056"/>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2219"/>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175"/>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customStyle="1" w:styleId="UnresolvedMention1">
    <w:name w:val="Unresolved Mention1"/>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42A0080B-EDFD-4478-A37B-92102AF12552}" type="presOf" srcId="{88AD2523-143D-4043-A8E6-D19A4D266368}" destId="{CBB7E45B-FC76-4043-AE67-E57C276105A3}" srcOrd="0" destOrd="0" presId="urn:microsoft.com/office/officeart/2005/8/layout/pyramid3"/>
    <dgm:cxn modelId="{E444B10E-7DF0-4947-A8D0-59A947D4C403}" type="presOf" srcId="{6C31482E-35FE-425A-9588-751B5CFF4E16}" destId="{7AF156CF-770E-4015-A861-2CC81683C61C}" srcOrd="1" destOrd="0" presId="urn:microsoft.com/office/officeart/2005/8/layout/pyramid3"/>
    <dgm:cxn modelId="{9D420417-A073-4E95-A2A6-3C37AC8C5616}" type="presOf" srcId="{46D3249E-5334-4DB3-911A-CA9ABCA38CEC}" destId="{8BE9400F-80D5-468B-9C7C-5519C857E740}" srcOrd="0" destOrd="0" presId="urn:microsoft.com/office/officeart/2005/8/layout/pyramid3"/>
    <dgm:cxn modelId="{DBEA8D5D-126C-4864-841E-6771715C0E4B}" type="presOf" srcId="{46D3249E-5334-4DB3-911A-CA9ABCA38CEC}" destId="{931330A6-91AD-41E7-B223-7D488476D325}" srcOrd="1" destOrd="0" presId="urn:microsoft.com/office/officeart/2005/8/layout/pyramid3"/>
    <dgm:cxn modelId="{9A395D60-72C9-4FD6-AE0C-90857D7BC506}" type="presOf" srcId="{6C31482E-35FE-425A-9588-751B5CFF4E16}" destId="{28742439-8CBE-4D19-B870-E4CDECF8B07E}" srcOrd="0" destOrd="0" presId="urn:microsoft.com/office/officeart/2005/8/layout/pyramid3"/>
    <dgm:cxn modelId="{BFD8C564-7206-4FCB-8CFF-09D8E5B24343}" type="presOf" srcId="{0017951F-AEEA-4E30-B3D9-AD8C3C26A9BE}" destId="{72524314-17BB-49E2-B2E6-8DB4C09FFF7E}" srcOrd="0" destOrd="0" presId="urn:microsoft.com/office/officeart/2005/8/layout/pyramid3"/>
    <dgm:cxn modelId="{B153D34C-CCF7-4890-A773-B4420B320302}" type="presOf" srcId="{99AC002F-5127-4C80-B52C-2DAF5069D67A}" destId="{56B31B40-44C9-4CE3-9502-CAD28B942CC9}" srcOrd="1"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EFC6F1A0-19E8-4137-903B-2ECFBF25CEC3}" srcId="{0017951F-AEEA-4E30-B3D9-AD8C3C26A9BE}" destId="{0B089678-C8B1-4895-8C15-42D4F9FD6B6F}" srcOrd="4" destOrd="0" parTransId="{501731FE-C3BF-4D57-A611-A759E7901972}" sibTransId="{BE7ED8EE-0763-4C0D-B9AC-B1541C191D88}"/>
    <dgm:cxn modelId="{DDCCEFA8-BAD1-4748-B0D9-8766BD9C1E62}" type="presOf" srcId="{0B089678-C8B1-4895-8C15-42D4F9FD6B6F}" destId="{9849C49E-AD54-4C30-8D52-1876A14774FB}" srcOrd="1"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50E4AC9-D411-4C58-9EC0-CD6F273B1370}" type="presOf" srcId="{0B089678-C8B1-4895-8C15-42D4F9FD6B6F}" destId="{BFC64CB6-37F6-4C43-A75F-8F748FB9BA1C}" srcOrd="0" destOrd="0" presId="urn:microsoft.com/office/officeart/2005/8/layout/pyramid3"/>
    <dgm:cxn modelId="{C2682DCC-4C76-46FB-9F57-250EF2A57C2E}"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0EF732E5-8D9A-46E0-8CA0-4FC1443C33B6}" type="presOf" srcId="{88AD2523-143D-4043-A8E6-D19A4D266368}" destId="{6399385F-9D77-42B0-BD05-35177EB763F2}" srcOrd="1" destOrd="0" presId="urn:microsoft.com/office/officeart/2005/8/layout/pyramid3"/>
    <dgm:cxn modelId="{21C96D36-77EC-40B1-95D8-9A4BA5E319F8}" type="presParOf" srcId="{72524314-17BB-49E2-B2E6-8DB4C09FFF7E}" destId="{3BBE36E5-25F2-4BA0-9FE8-748B8FF0DA8D}" srcOrd="0" destOrd="0" presId="urn:microsoft.com/office/officeart/2005/8/layout/pyramid3"/>
    <dgm:cxn modelId="{90765C73-170B-437F-AC3A-F2638E236F31}" type="presParOf" srcId="{3BBE36E5-25F2-4BA0-9FE8-748B8FF0DA8D}" destId="{84AD9414-4518-4FE9-A1C3-9397E1BE0C44}" srcOrd="0" destOrd="0" presId="urn:microsoft.com/office/officeart/2005/8/layout/pyramid3"/>
    <dgm:cxn modelId="{21EABD68-2ADC-4CB5-A8BA-CE60BAF56D9A}" type="presParOf" srcId="{3BBE36E5-25F2-4BA0-9FE8-748B8FF0DA8D}" destId="{56B31B40-44C9-4CE3-9502-CAD28B942CC9}" srcOrd="1" destOrd="0" presId="urn:microsoft.com/office/officeart/2005/8/layout/pyramid3"/>
    <dgm:cxn modelId="{A41696FB-51B4-45BA-ABBF-C125787118E1}" type="presParOf" srcId="{72524314-17BB-49E2-B2E6-8DB4C09FFF7E}" destId="{43994162-78F2-4CB2-A28C-F7617BB144EA}" srcOrd="1" destOrd="0" presId="urn:microsoft.com/office/officeart/2005/8/layout/pyramid3"/>
    <dgm:cxn modelId="{5EBFDBAD-D2BF-47F8-9E04-DFFAA2421B0D}" type="presParOf" srcId="{43994162-78F2-4CB2-A28C-F7617BB144EA}" destId="{8BE9400F-80D5-468B-9C7C-5519C857E740}" srcOrd="0" destOrd="0" presId="urn:microsoft.com/office/officeart/2005/8/layout/pyramid3"/>
    <dgm:cxn modelId="{11175A51-F250-4BF0-A0F8-A6D80C74C2C6}" type="presParOf" srcId="{43994162-78F2-4CB2-A28C-F7617BB144EA}" destId="{931330A6-91AD-41E7-B223-7D488476D325}" srcOrd="1" destOrd="0" presId="urn:microsoft.com/office/officeart/2005/8/layout/pyramid3"/>
    <dgm:cxn modelId="{89417E32-98E7-4FC3-A002-E952A5CA2345}" type="presParOf" srcId="{72524314-17BB-49E2-B2E6-8DB4C09FFF7E}" destId="{83138B3B-9680-4451-B42C-DCDDBAF05160}" srcOrd="2" destOrd="0" presId="urn:microsoft.com/office/officeart/2005/8/layout/pyramid3"/>
    <dgm:cxn modelId="{1D9CA483-B455-4122-BF85-941017F8C10A}" type="presParOf" srcId="{83138B3B-9680-4451-B42C-DCDDBAF05160}" destId="{CBB7E45B-FC76-4043-AE67-E57C276105A3}" srcOrd="0" destOrd="0" presId="urn:microsoft.com/office/officeart/2005/8/layout/pyramid3"/>
    <dgm:cxn modelId="{DAE9501C-6B5E-4949-B37C-AEDB45FE1843}" type="presParOf" srcId="{83138B3B-9680-4451-B42C-DCDDBAF05160}" destId="{6399385F-9D77-42B0-BD05-35177EB763F2}" srcOrd="1" destOrd="0" presId="urn:microsoft.com/office/officeart/2005/8/layout/pyramid3"/>
    <dgm:cxn modelId="{A6509A6F-8D7F-4D23-80BB-33DE6ABBBEC0}" type="presParOf" srcId="{72524314-17BB-49E2-B2E6-8DB4C09FFF7E}" destId="{81D96034-E0F3-42E7-BB3B-E4DA86F131CA}" srcOrd="3" destOrd="0" presId="urn:microsoft.com/office/officeart/2005/8/layout/pyramid3"/>
    <dgm:cxn modelId="{CE4E54CF-A35F-4142-B6E8-0CB2833A9FFC}" type="presParOf" srcId="{81D96034-E0F3-42E7-BB3B-E4DA86F131CA}" destId="{28742439-8CBE-4D19-B870-E4CDECF8B07E}" srcOrd="0" destOrd="0" presId="urn:microsoft.com/office/officeart/2005/8/layout/pyramid3"/>
    <dgm:cxn modelId="{8F86CE76-C346-48C2-A6D7-8D7B3B027BC1}" type="presParOf" srcId="{81D96034-E0F3-42E7-BB3B-E4DA86F131CA}" destId="{7AF156CF-770E-4015-A861-2CC81683C61C}" srcOrd="1" destOrd="0" presId="urn:microsoft.com/office/officeart/2005/8/layout/pyramid3"/>
    <dgm:cxn modelId="{9C087A73-27B7-4489-81BF-8E553E461542}" type="presParOf" srcId="{72524314-17BB-49E2-B2E6-8DB4C09FFF7E}" destId="{CFAFA6FA-8881-432C-A7FE-B4A51C530034}" srcOrd="4" destOrd="0" presId="urn:microsoft.com/office/officeart/2005/8/layout/pyramid3"/>
    <dgm:cxn modelId="{BC3B31BF-4A9B-48AE-92E1-11521543A360}" type="presParOf" srcId="{CFAFA6FA-8881-432C-A7FE-B4A51C530034}" destId="{BFC64CB6-37F6-4C43-A75F-8F748FB9BA1C}" srcOrd="0" destOrd="0" presId="urn:microsoft.com/office/officeart/2005/8/layout/pyramid3"/>
    <dgm:cxn modelId="{95B0431E-B113-4C30-9B0B-D272B0E2BD55}"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335C4728-14FB-4CC4-8018-90B4576405B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5145</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Guang-Qian Yeap</cp:lastModifiedBy>
  <cp:revision>3</cp:revision>
  <cp:lastPrinted>2016-04-18T12:10:00Z</cp:lastPrinted>
  <dcterms:created xsi:type="dcterms:W3CDTF">2025-05-23T17:21:00Z</dcterms:created>
  <dcterms:modified xsi:type="dcterms:W3CDTF">2025-09-30T12:40:00Z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