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778.000000000002" w:type="dxa"/>
        <w:jc w:val="left"/>
        <w:tblInd w:w="0.0" w:type="dxa"/>
        <w:tblBorders>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8219"/>
        <w:gridCol w:w="2863"/>
        <w:gridCol w:w="3696"/>
        <w:tblGridChange w:id="0">
          <w:tblGrid>
            <w:gridCol w:w="8219"/>
            <w:gridCol w:w="2863"/>
            <w:gridCol w:w="3696"/>
          </w:tblGrid>
        </w:tblGridChange>
      </w:tblGrid>
      <w:tr>
        <w:trPr>
          <w:cantSplit w:val="0"/>
          <w:trHeight w:val="120" w:hRule="atLeast"/>
          <w:tblHeader w:val="0"/>
        </w:trPr>
        <w:tc>
          <w:tcPr>
            <w:gridSpan w:val="3"/>
          </w:tcPr>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Work/Activity: Aerial Sports</w:t>
            </w:r>
          </w:p>
        </w:tc>
      </w:tr>
      <w:tr>
        <w:trPr>
          <w:cantSplit w:val="0"/>
          <w:trHeight w:val="3360" w:hRule="atLeast"/>
          <w:tblHeader w:val="0"/>
        </w:trPr>
        <w:tc>
          <w:tcPr>
            <w:gridSpan w:val="3"/>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b w:val="0"/>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b w:val="0"/>
              </w:rPr>
            </w:pPr>
            <w:r w:rsidDel="00000000" w:rsidR="00000000" w:rsidRPr="00000000">
              <w:rPr>
                <w:b w:val="0"/>
                <w:rtl w:val="0"/>
              </w:rPr>
              <w:t xml:space="preserve">Aerial sports involves the performance of strength moves and poses at an elevated height. This height is achieved from either a secured base, a portable rig or fixed rigging points from the ceiling.</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b w:val="0"/>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b w:val="0"/>
              </w:rPr>
            </w:pPr>
            <w:r w:rsidDel="00000000" w:rsidR="00000000" w:rsidRPr="00000000">
              <w:rPr>
                <w:b w:val="0"/>
                <w:rtl w:val="0"/>
              </w:rPr>
              <w:t xml:space="preserve">As a society we hold training sessions on campus twice a week, we hold taster sessions to get more people involved into the society and we perform during events such as the Bunfight and showcases. In all these events we use society equipment which is set up by experienced committee members. Our routines include inverts and spins on the equipment. Only moves which we have been taught by a professional instructor are allowed during showcases and training sessions.</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b w:val="0"/>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b w:val="0"/>
              </w:rPr>
            </w:pPr>
            <w:r w:rsidDel="00000000" w:rsidR="00000000" w:rsidRPr="00000000">
              <w:rPr>
                <w:b w:val="0"/>
                <w:rtl w:val="0"/>
              </w:rPr>
              <w:t xml:space="preserve">For taster sessions we teach only very basic spins and poses. Taster and practice sessions are supervised by committee members to ensure safe practice. We ensure that a First Aider (instructor or trained committee) is present when practicing new moves (e.g. taster sessions) and during performances.</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b w:val="0"/>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b w:val="0"/>
              </w:rPr>
            </w:pPr>
            <w:r w:rsidDel="00000000" w:rsidR="00000000" w:rsidRPr="00000000">
              <w:rPr>
                <w:b w:val="0"/>
                <w:rtl w:val="0"/>
              </w:rPr>
              <w:t xml:space="preserve">At all events, participants do a warm up and a cool down to avoid possible injuries.</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140" w:hRule="atLeast"/>
          <w:tblHeader w:val="0"/>
        </w:trPr>
        <w:tc>
          <w:tcPr>
            <w:shd w:fill="c6d9f1" w:val="clear"/>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b w:val="0"/>
              </w:rPr>
            </w:pPr>
            <w:r w:rsidDel="00000000" w:rsidR="00000000" w:rsidRPr="00000000">
              <w:rPr>
                <w:b w:val="0"/>
                <w:rtl w:val="0"/>
              </w:rPr>
              <w:t xml:space="preserve">Department/Club: Southampton Aerial Sports Society</w:t>
            </w:r>
          </w:p>
        </w:tc>
        <w:tc>
          <w:tcPr>
            <w:shd w:fill="c6d9f1" w:val="clear"/>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Assessor(s): Eleanor Dodd</w:t>
            </w:r>
          </w:p>
        </w:tc>
        <w:tc>
          <w:tcPr>
            <w:shd w:fill="c6d9f1" w:val="clear"/>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Contact:  ed7g11@soton.ac.uk</w:t>
            </w:r>
          </w:p>
        </w:tc>
      </w:tr>
      <w:tr>
        <w:trPr>
          <w:cantSplit w:val="0"/>
          <w:trHeight w:val="140" w:hRule="atLeast"/>
          <w:tblHeader w:val="0"/>
        </w:trPr>
        <w:tc>
          <w:tcPr>
            <w:shd w:fill="c6d9f1" w:val="clear"/>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b w:val="0"/>
              </w:rPr>
            </w:pPr>
            <w:r w:rsidDel="00000000" w:rsidR="00000000" w:rsidRPr="00000000">
              <w:rPr>
                <w:b w:val="0"/>
                <w:rtl w:val="0"/>
              </w:rPr>
              <w:t xml:space="preserve">Guidance/standards/Reference documents:  </w:t>
            </w:r>
          </w:p>
        </w:tc>
        <w:tc>
          <w:tcPr>
            <w:gridSpan w:val="2"/>
            <w:shd w:fill="c6d9f1" w:val="clear"/>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Competence requirements:</w:t>
            </w:r>
          </w:p>
        </w:tc>
      </w:tr>
      <w:tr>
        <w:trPr>
          <w:cantSplit w:val="0"/>
          <w:trHeight w:val="180" w:hRule="atLeast"/>
          <w:tblHeader w:val="0"/>
        </w:trPr>
        <w:tc>
          <w:tcPr>
            <w:vMerge w:val="restart"/>
          </w:tcPr>
          <w:p w:rsidR="00000000" w:rsidDel="00000000" w:rsidP="00000000" w:rsidRDefault="00000000" w:rsidRPr="00000000" w14:paraId="00000017">
            <w:pPr>
              <w:pageBreakBefore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hanging="360"/>
              <w:rPr/>
            </w:pPr>
            <w:r w:rsidDel="00000000" w:rsidR="00000000" w:rsidRPr="00000000">
              <w:rPr>
                <w:rFonts w:ascii="Calibri" w:cs="Calibri" w:eastAsia="Calibri" w:hAnsi="Calibri"/>
                <w:b w:val="0"/>
                <w:sz w:val="22"/>
                <w:szCs w:val="22"/>
                <w:rtl w:val="0"/>
              </w:rPr>
              <w:t xml:space="preserve">http://www.hse.gov.uk/Risk/faq.htm</w:t>
            </w:r>
            <w:r w:rsidDel="00000000" w:rsidR="00000000" w:rsidRPr="00000000">
              <w:rPr>
                <w:rtl w:val="0"/>
              </w:rPr>
            </w:r>
          </w:p>
        </w:tc>
        <w:tc>
          <w:tcPr>
            <w:shd w:fill="c6d9f1" w:val="clear"/>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Role:</w:t>
            </w:r>
          </w:p>
        </w:tc>
        <w:tc>
          <w:tcPr>
            <w:shd w:fill="c6d9f1" w:val="clear"/>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Skills, experience or qualifications</w:t>
            </w:r>
          </w:p>
        </w:tc>
      </w:tr>
      <w:tr>
        <w:trPr>
          <w:cantSplit w:val="0"/>
          <w:trHeight w:val="1320" w:hRule="atLeast"/>
          <w:tblHeader w:val="0"/>
        </w:trPr>
        <w:tc>
          <w:tcPr>
            <w:vMerge w:val="continue"/>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b w:val="0"/>
              </w:rPr>
            </w:pPr>
            <w:r w:rsidDel="00000000" w:rsidR="00000000" w:rsidRPr="00000000">
              <w:rPr>
                <w:rtl w:val="0"/>
              </w:rPr>
            </w:r>
          </w:p>
        </w:tc>
        <w:tc>
          <w:tcPr>
            <w:vMerge w:val="restart"/>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President and Welfare Officer</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First Aider</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Mental Health First Aider</w:t>
            </w:r>
          </w:p>
        </w:tc>
        <w:tc>
          <w:tcPr>
            <w:vMerge w:val="restart"/>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years as a member of Aerial Sports Society (4 years of aerial experience). Previously responsible for Health and Safety in Circus Society. </w:t>
            </w:r>
          </w:p>
        </w:tc>
      </w:tr>
      <w:tr>
        <w:trPr>
          <w:cantSplit w:val="0"/>
          <w:tblHeader w:val="0"/>
        </w:trPr>
        <w:tc>
          <w:tcPr>
            <w:shd w:fill="c6d9f1" w:val="clear"/>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b w:val="0"/>
              </w:rPr>
            </w:pPr>
            <w:r w:rsidDel="00000000" w:rsidR="00000000" w:rsidRPr="00000000">
              <w:rPr>
                <w:b w:val="0"/>
                <w:rtl w:val="0"/>
              </w:rPr>
              <w:t xml:space="preserve">Risk assessments linked:</w:t>
            </w:r>
          </w:p>
        </w:tc>
        <w:tc>
          <w:tcPr>
            <w:vMerge w:val="continue"/>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vMerge w:val="continue"/>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13845.0" w:type="dxa"/>
        <w:jc w:val="left"/>
        <w:tblInd w:w="0.0" w:type="dxa"/>
        <w:tblLayout w:type="fixed"/>
        <w:tblLook w:val="0400"/>
      </w:tblPr>
      <w:tblGrid>
        <w:gridCol w:w="2175"/>
        <w:gridCol w:w="6615"/>
        <w:gridCol w:w="1485"/>
        <w:gridCol w:w="1215"/>
        <w:gridCol w:w="1110"/>
        <w:gridCol w:w="1245"/>
        <w:tblGridChange w:id="0">
          <w:tblGrid>
            <w:gridCol w:w="2175"/>
            <w:gridCol w:w="6615"/>
            <w:gridCol w:w="1485"/>
            <w:gridCol w:w="1215"/>
            <w:gridCol w:w="1110"/>
            <w:gridCol w:w="1245"/>
          </w:tblGrid>
        </w:tblGridChange>
      </w:tblGrid>
      <w:tr>
        <w:trPr>
          <w:cantSplit w:val="0"/>
          <w:trHeight w:val="640" w:hRule="atLeast"/>
          <w:tblHeader w:val="0"/>
        </w:trPr>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Hazards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C</w:t>
            </w:r>
            <w:r w:rsidDel="00000000" w:rsidR="00000000" w:rsidRPr="00000000">
              <w:rPr>
                <w:color w:val="ffffff"/>
                <w:sz w:val="20"/>
                <w:szCs w:val="20"/>
                <w:rtl w:val="0"/>
              </w:rPr>
              <w:t xml:space="preserve">ontrol measure</w:t>
            </w:r>
            <w:r w:rsidDel="00000000" w:rsidR="00000000" w:rsidRPr="00000000">
              <w:rPr>
                <w:rFonts w:ascii="Calibri" w:cs="Calibri" w:eastAsia="Calibri" w:hAnsi="Calibri"/>
                <w:color w:val="ffffff"/>
                <w:sz w:val="20"/>
                <w:szCs w:val="20"/>
                <w:rtl w:val="0"/>
              </w:rPr>
              <w:t xml:space="preserve">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240" w:lineRule="auto"/>
              <w:jc w:val="center"/>
              <w:rPr>
                <w:color w:val="ffffff"/>
                <w:sz w:val="20"/>
                <w:szCs w:val="20"/>
              </w:rPr>
            </w:pPr>
            <w:r w:rsidDel="00000000" w:rsidR="00000000" w:rsidRPr="00000000">
              <w:rPr>
                <w:color w:val="ffffff"/>
                <w:sz w:val="20"/>
                <w:szCs w:val="20"/>
                <w:rtl w:val="0"/>
              </w:rPr>
              <w:t xml:space="preserve">Likelihood</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line="240" w:lineRule="auto"/>
              <w:jc w:val="center"/>
              <w:rPr>
                <w:color w:val="ffffff"/>
                <w:sz w:val="20"/>
                <w:szCs w:val="20"/>
              </w:rPr>
            </w:pPr>
            <w:r w:rsidDel="00000000" w:rsidR="00000000" w:rsidRPr="00000000">
              <w:rPr>
                <w:color w:val="ffffff"/>
                <w:sz w:val="20"/>
                <w:szCs w:val="20"/>
                <w:rtl w:val="0"/>
              </w:rPr>
              <w:t xml:space="preserve">Severity</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ffffff"/>
                <w:sz w:val="20"/>
                <w:szCs w:val="20"/>
              </w:rPr>
            </w:pPr>
            <w:r w:rsidDel="00000000" w:rsidR="00000000" w:rsidRPr="00000000">
              <w:rPr>
                <w:color w:val="ffffff"/>
                <w:sz w:val="20"/>
                <w:szCs w:val="20"/>
                <w:rtl w:val="0"/>
              </w:rPr>
              <w:t xml:space="preserve">Risk</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line="240" w:lineRule="auto"/>
              <w:jc w:val="center"/>
              <w:rPr>
                <w:color w:val="ffffff"/>
                <w:sz w:val="20"/>
                <w:szCs w:val="20"/>
              </w:rPr>
            </w:pPr>
            <w:r w:rsidDel="00000000" w:rsidR="00000000" w:rsidRPr="00000000">
              <w:rPr>
                <w:color w:val="ffffff"/>
                <w:sz w:val="20"/>
                <w:szCs w:val="20"/>
                <w:rtl w:val="0"/>
              </w:rPr>
              <w:t xml:space="preserve">Acceptable?</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line="240" w:lineRule="auto"/>
              <w:jc w:val="center"/>
              <w:rPr>
                <w:color w:val="000000"/>
              </w:rPr>
            </w:pPr>
            <w:r w:rsidDel="00000000" w:rsidR="00000000" w:rsidRPr="00000000">
              <w:rPr>
                <w:color w:val="000000"/>
                <w:rtl w:val="0"/>
              </w:rPr>
              <w:t xml:space="preserve">Manual Handling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pageBreakBefore w:val="0"/>
              <w:spacing w:after="0" w:line="240" w:lineRule="auto"/>
              <w:rPr>
                <w:color w:val="000000"/>
              </w:rPr>
            </w:pPr>
            <w:r w:rsidDel="00000000" w:rsidR="00000000" w:rsidRPr="00000000">
              <w:rPr>
                <w:rtl w:val="0"/>
              </w:rPr>
              <w:t xml:space="preserve">Committee will oversee the setting up and packing away of the poles and rigs with the assistance of experienced society members following the guidance set out in the equipment manuals. Only members who feel they are competent, experienced and capable of carrying equipment will be encouraged to do so. Shoes must be worn while equipment is being put in place.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0" w:line="240" w:lineRule="auto"/>
              <w:jc w:val="center"/>
              <w:rPr/>
            </w:pPr>
            <w:r w:rsidDel="00000000" w:rsidR="00000000" w:rsidRPr="00000000">
              <w:rPr>
                <w:rtl w:val="0"/>
              </w:rPr>
              <w:t xml:space="preserve">Y</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line="240" w:lineRule="auto"/>
              <w:jc w:val="center"/>
              <w:rPr>
                <w:color w:val="000000"/>
              </w:rPr>
            </w:pPr>
            <w:r w:rsidDel="00000000" w:rsidR="00000000" w:rsidRPr="00000000">
              <w:rPr>
                <w:rtl w:val="0"/>
              </w:rPr>
              <w:t xml:space="preserve">Rig/Pole Base</w:t>
            </w:r>
            <w:r w:rsidDel="00000000" w:rsidR="00000000" w:rsidRPr="00000000">
              <w:rPr>
                <w:color w:val="000000"/>
                <w:rtl w:val="0"/>
              </w:rPr>
              <w:t xml:space="preserve"> </w:t>
            </w:r>
            <w:r w:rsidDel="00000000" w:rsidR="00000000" w:rsidRPr="00000000">
              <w:rPr>
                <w:rtl w:val="0"/>
              </w:rPr>
              <w:t xml:space="preserve">coming</w:t>
            </w:r>
            <w:r w:rsidDel="00000000" w:rsidR="00000000" w:rsidRPr="00000000">
              <w:rPr>
                <w:color w:val="000000"/>
                <w:rtl w:val="0"/>
              </w:rPr>
              <w:t xml:space="preserve"> apart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0" w:line="240" w:lineRule="auto"/>
              <w:rPr>
                <w:color w:val="000000"/>
              </w:rPr>
            </w:pPr>
            <w:r w:rsidDel="00000000" w:rsidR="00000000" w:rsidRPr="00000000">
              <w:rPr>
                <w:rtl w:val="0"/>
              </w:rPr>
              <w:t xml:space="preserve">Committee and instructors will make sure that all parts of the poles  and rig are secured before they are used. Testing that the rig is secure and rigid from the ground. Ensuring that carabiners have been screwed shut. Checking the pole - tightening bolts and testing before use and recognising the signs they might be is loosening.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Y</w:t>
            </w: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0" w:line="240" w:lineRule="auto"/>
              <w:jc w:val="center"/>
              <w:rPr>
                <w:color w:val="000000"/>
              </w:rPr>
            </w:pPr>
            <w:r w:rsidDel="00000000" w:rsidR="00000000" w:rsidRPr="00000000">
              <w:rPr>
                <w:color w:val="000000"/>
                <w:rtl w:val="0"/>
              </w:rPr>
              <w:t xml:space="preserve">Falling off the </w:t>
            </w:r>
            <w:r w:rsidDel="00000000" w:rsidR="00000000" w:rsidRPr="00000000">
              <w:rPr>
                <w:rtl w:val="0"/>
              </w:rPr>
              <w:t xml:space="preserve">equipment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Hoops are wrapped in grip tape and hand grip will be available for poles/silks.</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People using the equipment will be instructed in measures they should take to avoid slipping or falling from the equipment.</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The height of the poles and hoop will be limited to reduce the danger of falling.</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0" w:line="240" w:lineRule="auto"/>
              <w:rPr>
                <w:color w:val="000000"/>
              </w:rPr>
            </w:pPr>
            <w:r w:rsidDel="00000000" w:rsidR="00000000" w:rsidRPr="00000000">
              <w:rPr>
                <w:rtl w:val="0"/>
              </w:rPr>
              <w:t xml:space="preserve">A mat will also be used to avoid serious injury in case of a fall from height.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Y</w:t>
            </w: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0" w:line="240" w:lineRule="auto"/>
              <w:jc w:val="center"/>
              <w:rPr>
                <w:color w:val="000000"/>
              </w:rPr>
            </w:pPr>
            <w:r w:rsidDel="00000000" w:rsidR="00000000" w:rsidRPr="00000000">
              <w:rPr>
                <w:rtl w:val="0"/>
              </w:rPr>
              <w:t xml:space="preserve">Damage to muscles, tendons or ligaments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0" w:line="240" w:lineRule="auto"/>
              <w:rPr>
                <w:color w:val="000000"/>
              </w:rPr>
            </w:pPr>
            <w:r w:rsidDel="00000000" w:rsidR="00000000" w:rsidRPr="00000000">
              <w:rPr>
                <w:rtl w:val="0"/>
              </w:rPr>
              <w:t xml:space="preserve">A full warm up and cool down is performed for each session. The correct techniques used for each move are taught by our instructors. If a participant has a previous injury they will be encouraged to reduce strain on that muscle/body part. Participants are reminded that they can always withdraw if they feel unable to safely perform a particular move.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 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0" w:line="240" w:lineRule="auto"/>
              <w:jc w:val="center"/>
              <w:rPr>
                <w:color w:val="000000"/>
              </w:rPr>
            </w:pPr>
            <w:r w:rsidDel="00000000" w:rsidR="00000000" w:rsidRPr="00000000">
              <w:rPr>
                <w:rtl w:val="0"/>
              </w:rPr>
              <w:t xml:space="preserve">Skin Damage and mild bruising from equipment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Proper instructions on correct techniques are given. Our liability agreement outlines appropriate clothing for each activity.</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line="240"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Y</w:t>
            </w: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0" w:line="240" w:lineRule="auto"/>
              <w:jc w:val="center"/>
              <w:rPr>
                <w:color w:val="000000"/>
              </w:rPr>
            </w:pPr>
            <w:r w:rsidDel="00000000" w:rsidR="00000000" w:rsidRPr="00000000">
              <w:rPr>
                <w:rtl w:val="0"/>
              </w:rPr>
              <w:t xml:space="preserve"> People come in contact with others when on the equipment, such as kicking when doing a spin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pageBreakBefore w:val="0"/>
              <w:widowControl w:val="0"/>
              <w:pBdr>
                <w:top w:space="0" w:sz="0" w:val="nil"/>
                <w:left w:space="0" w:sz="0" w:val="nil"/>
                <w:bottom w:space="0" w:sz="0" w:val="nil"/>
                <w:right w:space="0" w:sz="0" w:val="nil"/>
                <w:between w:space="0" w:sz="0" w:val="nil"/>
              </w:pBdr>
              <w:shd w:fill="auto" w:val="clear"/>
              <w:rPr>
                <w:color w:val="1e1e1e"/>
              </w:rPr>
            </w:pPr>
            <w:r w:rsidDel="00000000" w:rsidR="00000000" w:rsidRPr="00000000">
              <w:rPr>
                <w:rtl w:val="0"/>
              </w:rPr>
              <w:t xml:space="preserve">Aerial Sports committee and instructors will make sure that all those attending training sessions, taster sessions or Bunfight are aware that they should not stand near the equipment while someone is on it. They will be told to move back should they get too close to the equipment itself</w:t>
            </w:r>
            <w:r w:rsidDel="00000000" w:rsidR="00000000" w:rsidRPr="00000000">
              <w:rPr>
                <w:color w:val="1e1e1e"/>
                <w:rtl w:val="0"/>
              </w:rPr>
              <w:t xml:space="preserve">.</w:t>
            </w:r>
            <w:r w:rsidDel="00000000" w:rsidR="00000000" w:rsidRPr="00000000">
              <w:rPr>
                <w:rtl w:val="0"/>
              </w:rPr>
              <w:t xml:space="preserve"> Equipment will be positioned a suitable distance away from each other.  A clear line will be marked with tape or other means to prevent people from getting too close during crowd performances e.g. the bunfight.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Y</w:t>
            </w: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0" w:line="240" w:lineRule="auto"/>
              <w:jc w:val="center"/>
              <w:rPr>
                <w:color w:val="000000"/>
              </w:rPr>
            </w:pPr>
            <w:r w:rsidDel="00000000" w:rsidR="00000000" w:rsidRPr="00000000">
              <w:rPr>
                <w:rtl w:val="0"/>
              </w:rPr>
              <w:t xml:space="preserve">Injury during warm up or cool down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0" w:line="240" w:lineRule="auto"/>
              <w:rPr>
                <w:color w:val="000000"/>
              </w:rPr>
            </w:pPr>
            <w:r w:rsidDel="00000000" w:rsidR="00000000" w:rsidRPr="00000000">
              <w:rPr>
                <w:rtl w:val="0"/>
              </w:rPr>
              <w:t xml:space="preserve">Warm up and cool down are performed as a group directed by the instructor or an experienced committee member to ensure they are conducted properly.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Y</w:t>
            </w: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after="0" w:line="240" w:lineRule="auto"/>
              <w:jc w:val="center"/>
              <w:rPr>
                <w:color w:val="808080"/>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after="0" w:line="240" w:lineRule="auto"/>
              <w:jc w:val="center"/>
              <w:rPr/>
            </w:pPr>
            <w:r w:rsidDel="00000000" w:rsidR="00000000" w:rsidRPr="00000000">
              <w:rPr>
                <w:rtl w:val="0"/>
              </w:rPr>
              <w:t xml:space="preserve">Heat exhaustion/</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after="0" w:line="240" w:lineRule="auto"/>
              <w:jc w:val="center"/>
              <w:rPr>
                <w:color w:val="000000"/>
              </w:rPr>
            </w:pPr>
            <w:r w:rsidDel="00000000" w:rsidR="00000000" w:rsidRPr="00000000">
              <w:rPr>
                <w:rtl w:val="0"/>
              </w:rPr>
              <w:t xml:space="preserve">dehydration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after="0" w:line="240" w:lineRule="auto"/>
              <w:rPr>
                <w:color w:val="808080"/>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after="0" w:line="240" w:lineRule="auto"/>
              <w:rPr>
                <w:color w:val="000000"/>
              </w:rPr>
            </w:pPr>
            <w:r w:rsidDel="00000000" w:rsidR="00000000" w:rsidRPr="00000000">
              <w:rPr>
                <w:rtl w:val="0"/>
              </w:rPr>
              <w:t xml:space="preserve">Participants will be encouraged to drink water before and after to ensure they remain hydrated.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Y</w:t>
            </w: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after="0" w:before="120" w:lineRule="auto"/>
              <w:jc w:val="center"/>
              <w:rPr/>
            </w:pPr>
            <w:r w:rsidDel="00000000" w:rsidR="00000000" w:rsidRPr="00000000">
              <w:rPr>
                <w:rtl w:val="0"/>
              </w:rPr>
              <w:t xml:space="preserve">Injury due to inappropriate</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after="0" w:line="240" w:lineRule="auto"/>
              <w:jc w:val="center"/>
              <w:rPr>
                <w:color w:val="000000"/>
              </w:rPr>
            </w:pPr>
            <w:r w:rsidDel="00000000" w:rsidR="00000000" w:rsidRPr="00000000">
              <w:rPr>
                <w:rtl w:val="0"/>
              </w:rPr>
              <w:t xml:space="preserve">footwear or clothing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after="0" w:line="240" w:lineRule="auto"/>
              <w:rPr>
                <w:color w:val="000000"/>
              </w:rPr>
            </w:pPr>
            <w:r w:rsidDel="00000000" w:rsidR="00000000" w:rsidRPr="00000000">
              <w:rPr>
                <w:rtl w:val="0"/>
              </w:rPr>
              <w:t xml:space="preserve">Attendees will be advised on what to wear for taster sessions and normal sessions, no footwear will be worn as this would reduce the grip on the equipment.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Y</w:t>
            </w: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after="0" w:line="240" w:lineRule="auto"/>
              <w:jc w:val="center"/>
              <w:rPr>
                <w:color w:val="000000"/>
              </w:rPr>
            </w:pPr>
            <w:r w:rsidDel="00000000" w:rsidR="00000000" w:rsidRPr="00000000">
              <w:rPr>
                <w:color w:val="000000"/>
                <w:rtl w:val="0"/>
              </w:rPr>
              <w:t xml:space="preserve">Fire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after="0" w:line="240" w:lineRule="auto"/>
              <w:rPr>
                <w:color w:val="000000"/>
              </w:rPr>
            </w:pPr>
            <w:r w:rsidDel="00000000" w:rsidR="00000000" w:rsidRPr="00000000">
              <w:rPr>
                <w:rtl w:val="0"/>
              </w:rPr>
              <w:t xml:space="preserve">Fire exits and routes will be kept clear and participants will be informed of the nearest exit.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Y</w:t>
            </w: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after="0" w:line="240" w:lineRule="auto"/>
              <w:jc w:val="center"/>
              <w:rPr>
                <w:color w:val="000000"/>
              </w:rPr>
            </w:pPr>
            <w:r w:rsidDel="00000000" w:rsidR="00000000" w:rsidRPr="00000000">
              <w:rPr>
                <w:rtl w:val="0"/>
              </w:rPr>
              <w:t xml:space="preserve">Equipment Failure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after="0" w:line="240" w:lineRule="auto"/>
              <w:rPr>
                <w:color w:val="000000"/>
              </w:rPr>
            </w:pPr>
            <w:r w:rsidDel="00000000" w:rsidR="00000000" w:rsidRPr="00000000">
              <w:rPr>
                <w:rtl w:val="0"/>
              </w:rPr>
              <w:t xml:space="preserve">Equipment is visually inspected every 6 months - following manufacturers instructions for care. The hours of use of each piece of equipment is logged along with the purchase date of that item. A piece of equipment will be deemed unacceptable for use if visually damage, had more than 5 years of continuous use or has had more than 300 hours of use.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000000"/>
              </w:rPr>
            </w:pPr>
            <w:r w:rsidDel="00000000" w:rsidR="00000000" w:rsidRPr="00000000">
              <w:rPr>
                <w:rtl w:val="0"/>
              </w:rPr>
              <w:t xml:space="preserve">Y</w:t>
            </w:r>
            <w:r w:rsidDel="00000000" w:rsidR="00000000" w:rsidRPr="00000000">
              <w:rPr>
                <w:rtl w:val="0"/>
              </w:rPr>
            </w:r>
          </w:p>
        </w:tc>
      </w:tr>
    </w:tbl>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3"/>
        <w:tblW w:w="14240.0" w:type="dxa"/>
        <w:jc w:val="left"/>
        <w:tblInd w:w="0.0" w:type="dxa"/>
        <w:tblBorders>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3559"/>
        <w:gridCol w:w="3561"/>
        <w:gridCol w:w="7120"/>
        <w:tblGridChange w:id="0">
          <w:tblGrid>
            <w:gridCol w:w="3559"/>
            <w:gridCol w:w="3561"/>
            <w:gridCol w:w="7120"/>
          </w:tblGrid>
        </w:tblGridChange>
      </w:tblGrid>
      <w:tr>
        <w:trPr>
          <w:cantSplit w:val="0"/>
          <w:trHeight w:val="320" w:hRule="atLeast"/>
          <w:tblHeader w:val="0"/>
        </w:trPr>
        <w:tc>
          <w:tcPr>
            <w:gridSpan w:val="2"/>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Reviewed By:</w:t>
            </w:r>
          </w:p>
        </w:tc>
        <w:tc>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Comments:</w:t>
            </w:r>
          </w:p>
        </w:tc>
      </w:tr>
      <w:tr>
        <w:trPr>
          <w:cantSplit w:val="0"/>
          <w:trHeight w:val="640" w:hRule="atLeast"/>
          <w:tblHeader w:val="0"/>
        </w:trPr>
        <w:tc>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Responsible person (SA/DM):</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b w:val="0"/>
                <w:sz w:val="20"/>
                <w:szCs w:val="20"/>
              </w:rPr>
            </w:pPr>
            <w:r w:rsidDel="00000000" w:rsidR="00000000" w:rsidRPr="00000000">
              <w:rPr>
                <w:rtl w:val="0"/>
              </w:rPr>
            </w:r>
          </w:p>
        </w:tc>
        <w:tc>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Date:</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sz w:val="20"/>
                <w:szCs w:val="20"/>
              </w:rPr>
            </w:pPr>
            <w:bookmarkStart w:colFirst="0" w:colLast="0" w:name="_gjdgxs" w:id="0"/>
            <w:bookmarkEnd w:id="0"/>
            <w:r w:rsidDel="00000000" w:rsidR="00000000" w:rsidRPr="00000000">
              <w:rPr>
                <w:rtl w:val="0"/>
              </w:rPr>
            </w:r>
          </w:p>
        </w:tc>
        <w:tc>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640" w:hRule="atLeast"/>
          <w:tblHeader w:val="0"/>
        </w:trPr>
        <w:tc>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SUSU H&amp;S manager (where applicable):</w:t>
            </w:r>
          </w:p>
        </w:tc>
        <w:tc>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Date:</w:t>
            </w:r>
          </w:p>
        </w:tc>
        <w:tc>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bl>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1320800</wp:posOffset>
                </wp:positionH>
                <wp:positionV relativeFrom="paragraph">
                  <wp:posOffset>304799</wp:posOffset>
                </wp:positionV>
                <wp:extent cx="3263900" cy="25400"/>
                <wp:effectExtent b="0" l="0" r="0" t="0"/>
                <wp:wrapNone/>
                <wp:docPr id="1" name=""/>
                <a:graphic>
                  <a:graphicData uri="http://schemas.microsoft.com/office/word/2010/wordprocessingShape">
                    <wps:wsp>
                      <wps:cNvCnPr/>
                      <wps:spPr>
                        <a:xfrm>
                          <a:off x="3710558" y="3780000"/>
                          <a:ext cx="3270885" cy="0"/>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1320800</wp:posOffset>
                </wp:positionH>
                <wp:positionV relativeFrom="paragraph">
                  <wp:posOffset>304799</wp:posOffset>
                </wp:positionV>
                <wp:extent cx="3263900" cy="254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263900" cy="25400"/>
                        </a:xfrm>
                        <a:prstGeom prst="rect"/>
                        <a:ln/>
                      </pic:spPr>
                    </pic:pic>
                  </a:graphicData>
                </a:graphic>
              </wp:anchor>
            </w:drawing>
          </mc:Fallback>
        </mc:AlternateConten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rtl w:val="0"/>
        </w:rPr>
      </w:r>
    </w:p>
    <w:p w:rsidR="00000000" w:rsidDel="00000000" w:rsidP="00000000" w:rsidRDefault="00000000" w:rsidRPr="00000000" w14:paraId="00000085">
      <w:pPr>
        <w:pageBreakBefore w:val="0"/>
        <w:spacing w:after="0" w:line="240" w:lineRule="auto"/>
        <w:rPr>
          <w:rFonts w:ascii="Tahoma" w:cs="Tahoma" w:eastAsia="Tahoma" w:hAnsi="Tahoma"/>
        </w:rPr>
      </w:pPr>
      <w:r w:rsidDel="00000000" w:rsidR="00000000" w:rsidRPr="00000000">
        <w:rPr>
          <w:rtl w:val="0"/>
        </w:rPr>
      </w:r>
    </w:p>
    <w:tbl>
      <w:tblPr>
        <w:tblStyle w:val="Table4"/>
        <w:tblW w:w="11165.0" w:type="dxa"/>
        <w:jc w:val="left"/>
        <w:tblInd w:w="0.0" w:type="dxa"/>
        <w:tblLayout w:type="fixed"/>
        <w:tblLook w:val="0400"/>
      </w:tblPr>
      <w:tblGrid>
        <w:gridCol w:w="11165"/>
        <w:tblGridChange w:id="0">
          <w:tblGrid>
            <w:gridCol w:w="11165"/>
          </w:tblGrid>
        </w:tblGridChange>
      </w:tblGrid>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pageBreakBefore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High probabilit</w:t>
            </w:r>
            <w:r w:rsidDel="00000000" w:rsidR="00000000" w:rsidRPr="00000000">
              <w:rPr>
                <w:rFonts w:ascii="Arial" w:cs="Arial" w:eastAsia="Arial" w:hAnsi="Arial"/>
                <w:sz w:val="20"/>
                <w:szCs w:val="20"/>
                <w:rtl w:val="0"/>
              </w:rPr>
              <w:t xml:space="preserve">y, 1 in 10 chance or higher, once in two weeks or higher for activities on a daily basis</w:t>
            </w: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pageBreakBefore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Possible,</w:t>
            </w:r>
            <w:r w:rsidDel="00000000" w:rsidR="00000000" w:rsidRPr="00000000">
              <w:rPr>
                <w:rFonts w:ascii="Arial" w:cs="Arial" w:eastAsia="Arial" w:hAnsi="Arial"/>
                <w:sz w:val="20"/>
                <w:szCs w:val="20"/>
                <w:rtl w:val="0"/>
              </w:rPr>
              <w:t xml:space="preserve"> Significant probability,1 in 100 chance or higher, once in 6 months for activities on a daily basis</w:t>
            </w: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pageBreakBefore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Unlikely,</w:t>
            </w:r>
            <w:r w:rsidDel="00000000" w:rsidR="00000000" w:rsidRPr="00000000">
              <w:rPr>
                <w:rFonts w:ascii="Arial" w:cs="Arial" w:eastAsia="Arial" w:hAnsi="Arial"/>
                <w:sz w:val="20"/>
                <w:szCs w:val="20"/>
                <w:rtl w:val="0"/>
              </w:rPr>
              <w:t xml:space="preserve"> low probability, 1 in 1,000 chance or higher, once in 4 years or longer for activities on a daily basis.</w:t>
            </w: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pageBreakBefore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Rare,</w:t>
            </w:r>
            <w:r w:rsidDel="00000000" w:rsidR="00000000" w:rsidRPr="00000000">
              <w:rPr>
                <w:rFonts w:ascii="Arial" w:cs="Arial" w:eastAsia="Arial" w:hAnsi="Arial"/>
                <w:sz w:val="20"/>
                <w:szCs w:val="20"/>
                <w:rtl w:val="0"/>
              </w:rPr>
              <w:t xml:space="preserve"> very low probability, 1 in 10,000 chance or higher, once in a decade or longer for activities on a daily basis.</w:t>
            </w: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pageBreakBefore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Almost never</w:t>
            </w:r>
            <w:r w:rsidDel="00000000" w:rsidR="00000000" w:rsidRPr="00000000">
              <w:rPr>
                <w:rFonts w:ascii="Arial" w:cs="Arial" w:eastAsia="Arial" w:hAnsi="Arial"/>
                <w:sz w:val="20"/>
                <w:szCs w:val="20"/>
                <w:rtl w:val="0"/>
              </w:rPr>
              <w:t xml:space="preserve">, extremely low probability, less than 1 in 1000,000, Once in a century or longer for activities on a daily basis</w:t>
            </w:r>
            <w:r w:rsidDel="00000000" w:rsidR="00000000" w:rsidRPr="00000000">
              <w:rPr>
                <w:rtl w:val="0"/>
              </w:rPr>
            </w:r>
          </w:p>
        </w:tc>
      </w:tr>
    </w:tbl>
    <w:p w:rsidR="00000000" w:rsidDel="00000000" w:rsidP="00000000" w:rsidRDefault="00000000" w:rsidRPr="00000000" w14:paraId="0000008B">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rtl w:val="0"/>
        </w:rPr>
      </w:r>
    </w:p>
    <w:p w:rsidR="00000000" w:rsidDel="00000000" w:rsidP="00000000" w:rsidRDefault="00000000" w:rsidRPr="00000000" w14:paraId="0000008D">
      <w:pPr>
        <w:pageBreakBefore w:val="0"/>
        <w:spacing w:after="0" w:line="240" w:lineRule="auto"/>
        <w:rPr>
          <w:rFonts w:ascii="Tahoma" w:cs="Tahoma" w:eastAsia="Tahoma" w:hAnsi="Tahoma"/>
        </w:rPr>
      </w:pPr>
      <w:r w:rsidDel="00000000" w:rsidR="00000000" w:rsidRPr="00000000">
        <w:rPr>
          <w:rtl w:val="0"/>
        </w:rPr>
      </w:r>
    </w:p>
    <w:tbl>
      <w:tblPr>
        <w:tblStyle w:val="Table5"/>
        <w:tblW w:w="15570.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5"/>
        <w:gridCol w:w="2385"/>
        <w:gridCol w:w="2115"/>
        <w:gridCol w:w="2160"/>
        <w:gridCol w:w="2385"/>
        <w:gridCol w:w="2340"/>
        <w:gridCol w:w="2190"/>
        <w:tblGridChange w:id="0">
          <w:tblGrid>
            <w:gridCol w:w="1995"/>
            <w:gridCol w:w="2385"/>
            <w:gridCol w:w="2115"/>
            <w:gridCol w:w="2160"/>
            <w:gridCol w:w="2385"/>
            <w:gridCol w:w="2340"/>
            <w:gridCol w:w="2190"/>
          </w:tblGrid>
        </w:tblGridChange>
      </w:tblGrid>
      <w:tr>
        <w:trPr>
          <w:cantSplit w:val="0"/>
          <w:trHeight w:val="240" w:hRule="atLeast"/>
          <w:tblHeader w:val="0"/>
        </w:trPr>
        <w:tc>
          <w:tcPr>
            <w:gridSpan w:val="7"/>
            <w:shd w:fill="4f81bd" w:val="clear"/>
            <w:vAlign w:val="center"/>
          </w:tcPr>
          <w:p w:rsidR="00000000" w:rsidDel="00000000" w:rsidP="00000000" w:rsidRDefault="00000000" w:rsidRPr="00000000" w14:paraId="0000008E">
            <w:pPr>
              <w:pageBreakBefore w:val="0"/>
              <w:spacing w:after="0" w:line="240" w:lineRule="auto"/>
              <w:rPr>
                <w:rFonts w:ascii="Tahoma" w:cs="Tahoma" w:eastAsia="Tahoma" w:hAnsi="Tahoma"/>
                <w:b w:val="1"/>
                <w:sz w:val="24"/>
                <w:szCs w:val="24"/>
              </w:rPr>
            </w:pPr>
            <w:r w:rsidDel="00000000" w:rsidR="00000000" w:rsidRPr="00000000">
              <w:rPr>
                <w:rFonts w:ascii="Tahoma" w:cs="Tahoma" w:eastAsia="Tahoma" w:hAnsi="Tahoma"/>
                <w:b w:val="1"/>
                <w:rtl w:val="0"/>
              </w:rPr>
              <w:t xml:space="preserve">Risk Assessment</w:t>
            </w:r>
            <w:r w:rsidDel="00000000" w:rsidR="00000000" w:rsidRPr="00000000">
              <w:rPr>
                <w:rtl w:val="0"/>
              </w:rPr>
            </w:r>
          </w:p>
        </w:tc>
      </w:tr>
      <w:tr>
        <w:trPr>
          <w:cantSplit w:val="0"/>
          <w:trHeight w:val="420" w:hRule="atLeast"/>
          <w:tblHeader w:val="0"/>
        </w:trPr>
        <w:tc>
          <w:tcPr>
            <w:gridSpan w:val="7"/>
            <w:tcBorders>
              <w:bottom w:color="000000" w:space="0" w:sz="4" w:val="single"/>
            </w:tcBorders>
            <w:vAlign w:val="center"/>
          </w:tcPr>
          <w:p w:rsidR="00000000" w:rsidDel="00000000" w:rsidP="00000000" w:rsidRDefault="00000000" w:rsidRPr="00000000" w14:paraId="00000095">
            <w:pPr>
              <w:pageBreakBefore w:val="0"/>
              <w:spacing w:after="0" w:line="240" w:lineRule="auto"/>
              <w:jc w:val="center"/>
              <w:rPr>
                <w:rFonts w:ascii="Tahoma" w:cs="Tahoma" w:eastAsia="Tahoma" w:hAnsi="Tahoma"/>
                <w:b w:val="1"/>
                <w:color w:val="ff0000"/>
                <w:sz w:val="24"/>
                <w:szCs w:val="24"/>
              </w:rPr>
            </w:pPr>
            <w:r w:rsidDel="00000000" w:rsidR="00000000" w:rsidRPr="00000000">
              <w:rPr>
                <w:rFonts w:ascii="Tahoma" w:cs="Tahoma" w:eastAsia="Tahoma" w:hAnsi="Tahoma"/>
                <w:b w:val="1"/>
                <w:color w:val="ff0000"/>
                <w:rtl w:val="0"/>
              </w:rPr>
              <w:t xml:space="preserve">Within this section you need to give an overview of all the activities or event is undertaking, clearly identifying the risks involved (Hazards) and what action (Controls) will be taken to avoid or reduce these risks to an acceptable level.</w:t>
            </w:r>
            <w:r w:rsidDel="00000000" w:rsidR="00000000" w:rsidRPr="00000000">
              <w:rPr>
                <w:rtl w:val="0"/>
              </w:rPr>
            </w:r>
          </w:p>
        </w:tc>
      </w:tr>
      <w:tr>
        <w:trPr>
          <w:cantSplit w:val="0"/>
          <w:trHeight w:val="380" w:hRule="atLeast"/>
          <w:tblHeader w:val="0"/>
        </w:trPr>
        <w:tc>
          <w:tcPr>
            <w:vMerge w:val="restart"/>
            <w:tcBorders>
              <w:top w:color="000000" w:space="0" w:sz="4" w:val="single"/>
              <w:left w:color="000000" w:space="0" w:sz="4" w:val="single"/>
              <w:bottom w:color="000000" w:space="0" w:sz="6" w:val="single"/>
            </w:tcBorders>
            <w:shd w:fill="d9d9d9" w:val="clear"/>
            <w:vAlign w:val="center"/>
          </w:tcPr>
          <w:p w:rsidR="00000000" w:rsidDel="00000000" w:rsidP="00000000" w:rsidRDefault="00000000" w:rsidRPr="00000000" w14:paraId="0000009C">
            <w:pPr>
              <w:pageBreakBefore w:val="0"/>
              <w:spacing w:after="0" w:line="240" w:lineRule="auto"/>
              <w:ind w:left="113" w:right="113" w:firstLine="0"/>
              <w:jc w:val="center"/>
              <w:rPr>
                <w:rFonts w:ascii="Tahoma" w:cs="Tahoma" w:eastAsia="Tahoma" w:hAnsi="Tahoma"/>
                <w:b w:val="1"/>
                <w:sz w:val="24"/>
                <w:szCs w:val="24"/>
              </w:rPr>
            </w:pPr>
            <w:r w:rsidDel="00000000" w:rsidR="00000000" w:rsidRPr="00000000">
              <w:rPr>
                <w:rFonts w:ascii="Tahoma" w:cs="Tahoma" w:eastAsia="Tahoma" w:hAnsi="Tahoma"/>
                <w:b w:val="1"/>
                <w:sz w:val="20"/>
                <w:szCs w:val="20"/>
                <w:rtl w:val="0"/>
              </w:rPr>
              <w:t xml:space="preserve">The likelihood of an accident occurring</w:t>
            </w:r>
            <w:r w:rsidDel="00000000" w:rsidR="00000000" w:rsidRPr="00000000">
              <w:rPr>
                <w:rFonts w:ascii="Tahoma" w:cs="Tahoma" w:eastAsia="Tahoma" w:hAnsi="Tahoma"/>
                <w:b w:val="1"/>
                <w:rtl w:val="0"/>
              </w:rPr>
              <w:t xml:space="preserve"> </w:t>
            </w:r>
            <w:r w:rsidDel="00000000" w:rsidR="00000000" w:rsidRPr="00000000">
              <w:rPr>
                <w:rtl w:val="0"/>
              </w:rPr>
            </w:r>
          </w:p>
        </w:tc>
        <w:tc>
          <w:tcPr>
            <w:vMerge w:val="restart"/>
            <w:tcBorders>
              <w:top w:color="000000" w:space="0" w:sz="4" w:val="single"/>
              <w:bottom w:color="000000" w:space="0" w:sz="4" w:val="single"/>
            </w:tcBorders>
            <w:vAlign w:val="center"/>
          </w:tcPr>
          <w:p w:rsidR="00000000" w:rsidDel="00000000" w:rsidP="00000000" w:rsidRDefault="00000000" w:rsidRPr="00000000" w14:paraId="0000009D">
            <w:pPr>
              <w:pageBreakBefore w:val="0"/>
              <w:spacing w:after="0" w:line="240" w:lineRule="auto"/>
              <w:jc w:val="center"/>
              <w:rPr>
                <w:rFonts w:ascii="Tahoma" w:cs="Tahoma" w:eastAsia="Tahoma" w:hAnsi="Tahoma"/>
                <w:sz w:val="24"/>
                <w:szCs w:val="24"/>
              </w:rPr>
            </w:pPr>
            <w:r w:rsidDel="00000000" w:rsidR="00000000" w:rsidRPr="00000000">
              <w:rPr>
                <w:rtl w:val="0"/>
              </w:rPr>
            </w:r>
          </w:p>
        </w:tc>
        <w:tc>
          <w:tcPr>
            <w:gridSpan w:val="5"/>
            <w:tcBorders>
              <w:top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9E">
            <w:pPr>
              <w:pageBreakBefore w:val="0"/>
              <w:spacing w:after="0" w:line="240" w:lineRule="auto"/>
              <w:jc w:val="center"/>
              <w:rPr>
                <w:rFonts w:ascii="Tahoma" w:cs="Tahoma" w:eastAsia="Tahoma" w:hAnsi="Tahoma"/>
                <w:b w:val="1"/>
                <w:sz w:val="24"/>
                <w:szCs w:val="24"/>
              </w:rPr>
            </w:pPr>
            <w:r w:rsidDel="00000000" w:rsidR="00000000" w:rsidRPr="00000000">
              <w:rPr>
                <w:rFonts w:ascii="Tahoma" w:cs="Tahoma" w:eastAsia="Tahoma" w:hAnsi="Tahoma"/>
                <w:b w:val="1"/>
                <w:rtl w:val="0"/>
              </w:rPr>
              <w:t xml:space="preserve">Severity</w:t>
            </w:r>
            <w:r w:rsidDel="00000000" w:rsidR="00000000" w:rsidRPr="00000000">
              <w:rPr>
                <w:rtl w:val="0"/>
              </w:rPr>
            </w:r>
          </w:p>
        </w:tc>
      </w:tr>
      <w:tr>
        <w:trPr>
          <w:cantSplit w:val="0"/>
          <w:trHeight w:val="560" w:hRule="atLeast"/>
          <w:tblHeader w:val="0"/>
        </w:trPr>
        <w:tc>
          <w:tcPr>
            <w:vMerge w:val="continue"/>
            <w:tcBorders>
              <w:top w:color="000000" w:space="0" w:sz="4" w:val="single"/>
              <w:left w:color="000000" w:space="0" w:sz="4" w:val="single"/>
              <w:bottom w:color="000000" w:space="0" w:sz="6" w:val="single"/>
            </w:tcBorders>
            <w:shd w:fill="d9d9d9" w:val="clear"/>
            <w:vAlign w:val="center"/>
          </w:tcPr>
          <w:p w:rsidR="00000000" w:rsidDel="00000000" w:rsidP="00000000" w:rsidRDefault="00000000" w:rsidRPr="00000000" w14:paraId="000000A3">
            <w:pPr>
              <w:pageBreakBefore w:val="0"/>
              <w:widowControl w:val="0"/>
              <w:spacing w:after="0" w:line="276" w:lineRule="auto"/>
              <w:rPr>
                <w:rFonts w:ascii="Tahoma" w:cs="Tahoma" w:eastAsia="Tahoma" w:hAnsi="Tahoma"/>
                <w:b w:val="1"/>
                <w:sz w:val="24"/>
                <w:szCs w:val="24"/>
              </w:rPr>
            </w:pPr>
            <w:r w:rsidDel="00000000" w:rsidR="00000000" w:rsidRPr="00000000">
              <w:rPr>
                <w:rtl w:val="0"/>
              </w:rPr>
            </w:r>
          </w:p>
        </w:tc>
        <w:tc>
          <w:tcPr>
            <w:vMerge w:val="continue"/>
            <w:tcBorders>
              <w:top w:color="000000" w:space="0" w:sz="4" w:val="single"/>
              <w:bottom w:color="000000" w:space="0" w:sz="4" w:val="single"/>
            </w:tcBorders>
            <w:vAlign w:val="center"/>
          </w:tcPr>
          <w:p w:rsidR="00000000" w:rsidDel="00000000" w:rsidP="00000000" w:rsidRDefault="00000000" w:rsidRPr="00000000" w14:paraId="000000A4">
            <w:pPr>
              <w:pageBreakBefore w:val="0"/>
              <w:spacing w:after="0" w:line="240" w:lineRule="auto"/>
              <w:rPr>
                <w:rFonts w:ascii="Tahoma" w:cs="Tahoma" w:eastAsia="Tahoma" w:hAnsi="Tahoma"/>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A5">
            <w:pPr>
              <w:pageBreakBefore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rtl w:val="0"/>
              </w:rPr>
              <w:t xml:space="preserve">Minor</w:t>
            </w:r>
            <w:r w:rsidDel="00000000" w:rsidR="00000000" w:rsidRPr="00000000">
              <w:rPr>
                <w:rtl w:val="0"/>
              </w:rPr>
            </w:r>
          </w:p>
          <w:p w:rsidR="00000000" w:rsidDel="00000000" w:rsidP="00000000" w:rsidRDefault="00000000" w:rsidRPr="00000000" w14:paraId="000000A6">
            <w:pPr>
              <w:pageBreakBefore w:val="0"/>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Superficial injury</w:t>
              <w:br w:type="textWrapping"/>
              <w:t xml:space="preserve">Slight or temporary</w:t>
            </w:r>
          </w:p>
          <w:p w:rsidR="00000000" w:rsidDel="00000000" w:rsidP="00000000" w:rsidRDefault="00000000" w:rsidRPr="00000000" w14:paraId="000000A7">
            <w:pPr>
              <w:pageBreakBefore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rtl w:val="0"/>
              </w:rPr>
              <w:t xml:space="preserve">1</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A8">
            <w:pPr>
              <w:pageBreakBefore w:val="0"/>
              <w:spacing w:after="0" w:line="240" w:lineRule="auto"/>
              <w:jc w:val="center"/>
              <w:rPr>
                <w:rFonts w:ascii="Arial" w:cs="Arial" w:eastAsia="Arial" w:hAnsi="Arial"/>
                <w:sz w:val="16"/>
                <w:szCs w:val="16"/>
              </w:rPr>
            </w:pPr>
            <w:r w:rsidDel="00000000" w:rsidR="00000000" w:rsidRPr="00000000">
              <w:rPr>
                <w:rFonts w:ascii="Arial" w:cs="Arial" w:eastAsia="Arial" w:hAnsi="Arial"/>
                <w:b w:val="1"/>
                <w:rtl w:val="0"/>
              </w:rPr>
              <w:t xml:space="preserve">Moderate</w:t>
            </w:r>
            <w:r w:rsidDel="00000000" w:rsidR="00000000" w:rsidRPr="00000000">
              <w:rPr>
                <w:rtl w:val="0"/>
              </w:rPr>
            </w:r>
          </w:p>
          <w:p w:rsidR="00000000" w:rsidDel="00000000" w:rsidP="00000000" w:rsidRDefault="00000000" w:rsidRPr="00000000" w14:paraId="000000A9">
            <w:pPr>
              <w:pageBreakBefore w:val="0"/>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Significant injury or illness</w:t>
              <w:br w:type="textWrapping"/>
              <w:t xml:space="preserve">Temporary minor disability</w:t>
            </w:r>
          </w:p>
          <w:p w:rsidR="00000000" w:rsidDel="00000000" w:rsidP="00000000" w:rsidRDefault="00000000" w:rsidRPr="00000000" w14:paraId="000000AA">
            <w:pPr>
              <w:pageBreakBefore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rtl w:val="0"/>
              </w:rPr>
              <w:t xml:space="preserve">2</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AB">
            <w:pPr>
              <w:pageBreakBefore w:val="0"/>
              <w:spacing w:after="0" w:line="240" w:lineRule="auto"/>
              <w:jc w:val="center"/>
              <w:rPr>
                <w:rFonts w:ascii="Arial" w:cs="Arial" w:eastAsia="Arial" w:hAnsi="Arial"/>
                <w:sz w:val="16"/>
                <w:szCs w:val="16"/>
              </w:rPr>
            </w:pPr>
            <w:r w:rsidDel="00000000" w:rsidR="00000000" w:rsidRPr="00000000">
              <w:rPr>
                <w:rFonts w:ascii="Arial" w:cs="Arial" w:eastAsia="Arial" w:hAnsi="Arial"/>
                <w:b w:val="1"/>
                <w:rtl w:val="0"/>
              </w:rPr>
              <w:t xml:space="preserve">Major</w:t>
            </w:r>
            <w:r w:rsidDel="00000000" w:rsidR="00000000" w:rsidRPr="00000000">
              <w:rPr>
                <w:rtl w:val="0"/>
              </w:rPr>
            </w:r>
          </w:p>
          <w:p w:rsidR="00000000" w:rsidDel="00000000" w:rsidP="00000000" w:rsidRDefault="00000000" w:rsidRPr="00000000" w14:paraId="000000AC">
            <w:pPr>
              <w:pageBreakBefore w:val="0"/>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Serious injury or illness</w:t>
              <w:br w:type="textWrapping"/>
              <w:t xml:space="preserve">or Significant and permanent disability</w:t>
            </w:r>
          </w:p>
          <w:p w:rsidR="00000000" w:rsidDel="00000000" w:rsidP="00000000" w:rsidRDefault="00000000" w:rsidRPr="00000000" w14:paraId="000000AD">
            <w:pPr>
              <w:pageBreakBefore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rtl w:val="0"/>
              </w:rPr>
              <w:t xml:space="preserve">3</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AE">
            <w:pPr>
              <w:pageBreakBefore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rtl w:val="0"/>
              </w:rPr>
              <w:t xml:space="preserve">Critical</w:t>
            </w:r>
            <w:r w:rsidDel="00000000" w:rsidR="00000000" w:rsidRPr="00000000">
              <w:rPr>
                <w:rtl w:val="0"/>
              </w:rPr>
            </w:r>
          </w:p>
          <w:p w:rsidR="00000000" w:rsidDel="00000000" w:rsidP="00000000" w:rsidRDefault="00000000" w:rsidRPr="00000000" w14:paraId="000000AF">
            <w:pPr>
              <w:pageBreakBefore w:val="0"/>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Fatal injury or illness substantial and permanent disability</w:t>
            </w:r>
          </w:p>
          <w:p w:rsidR="00000000" w:rsidDel="00000000" w:rsidP="00000000" w:rsidRDefault="00000000" w:rsidRPr="00000000" w14:paraId="000000B0">
            <w:pPr>
              <w:pageBreakBefore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rtl w:val="0"/>
              </w:rPr>
              <w:t xml:space="preserve">4</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B1">
            <w:pPr>
              <w:pageBreakBefore w:val="0"/>
              <w:spacing w:after="0" w:line="240" w:lineRule="auto"/>
              <w:jc w:val="center"/>
              <w:rPr>
                <w:rFonts w:ascii="Arial" w:cs="Arial" w:eastAsia="Arial" w:hAnsi="Arial"/>
                <w:sz w:val="16"/>
                <w:szCs w:val="16"/>
              </w:rPr>
            </w:pPr>
            <w:r w:rsidDel="00000000" w:rsidR="00000000" w:rsidRPr="00000000">
              <w:rPr>
                <w:rFonts w:ascii="Arial" w:cs="Arial" w:eastAsia="Arial" w:hAnsi="Arial"/>
                <w:b w:val="1"/>
                <w:rtl w:val="0"/>
              </w:rPr>
              <w:t xml:space="preserve">Catastrophic                </w:t>
            </w:r>
            <w:r w:rsidDel="00000000" w:rsidR="00000000" w:rsidRPr="00000000">
              <w:rPr>
                <w:rFonts w:ascii="Arial" w:cs="Arial" w:eastAsia="Arial" w:hAnsi="Arial"/>
                <w:sz w:val="16"/>
                <w:szCs w:val="16"/>
                <w:rtl w:val="0"/>
              </w:rPr>
              <w:t xml:space="preserve"> Fatal injury or illness for multiple persons</w:t>
            </w:r>
          </w:p>
          <w:p w:rsidR="00000000" w:rsidDel="00000000" w:rsidP="00000000" w:rsidRDefault="00000000" w:rsidRPr="00000000" w14:paraId="000000B2">
            <w:pPr>
              <w:pageBreakBefore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rtl w:val="0"/>
              </w:rPr>
              <w:t xml:space="preserve">5</w:t>
            </w:r>
            <w:r w:rsidDel="00000000" w:rsidR="00000000" w:rsidRPr="00000000">
              <w:rPr>
                <w:rtl w:val="0"/>
              </w:rPr>
            </w:r>
          </w:p>
        </w:tc>
      </w:tr>
      <w:tr>
        <w:trPr>
          <w:cantSplit w:val="0"/>
          <w:trHeight w:val="420" w:hRule="atLeast"/>
          <w:tblHeader w:val="0"/>
        </w:trPr>
        <w:tc>
          <w:tcPr>
            <w:vMerge w:val="continue"/>
            <w:tcBorders>
              <w:top w:color="000000" w:space="0" w:sz="4" w:val="single"/>
              <w:left w:color="000000" w:space="0" w:sz="4" w:val="single"/>
              <w:bottom w:color="000000" w:space="0" w:sz="6" w:val="single"/>
            </w:tcBorders>
            <w:shd w:fill="d9d9d9" w:val="clear"/>
            <w:vAlign w:val="center"/>
          </w:tcPr>
          <w:p w:rsidR="00000000" w:rsidDel="00000000" w:rsidP="00000000" w:rsidRDefault="00000000" w:rsidRPr="00000000" w14:paraId="000000B3">
            <w:pPr>
              <w:pageBreakBefore w:val="0"/>
              <w:spacing w:after="0" w:line="240" w:lineRule="auto"/>
              <w:ind w:left="113" w:right="113" w:firstLine="0"/>
              <w:jc w:val="center"/>
              <w:rPr>
                <w:rFonts w:ascii="Tahoma" w:cs="Tahoma" w:eastAsia="Tahoma" w:hAnsi="Tahoma"/>
                <w:sz w:val="24"/>
                <w:szCs w:val="24"/>
              </w:rPr>
            </w:pPr>
            <w:r w:rsidDel="00000000" w:rsidR="00000000" w:rsidRPr="00000000">
              <w:rPr>
                <w:rtl w:val="0"/>
              </w:rPr>
            </w:r>
          </w:p>
        </w:tc>
        <w:tc>
          <w:tcPr>
            <w:vAlign w:val="center"/>
          </w:tcPr>
          <w:p w:rsidR="00000000" w:rsidDel="00000000" w:rsidP="00000000" w:rsidRDefault="00000000" w:rsidRPr="00000000" w14:paraId="000000B4">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rtl w:val="0"/>
              </w:rPr>
              <w:t xml:space="preserve">Likely                      5</w:t>
            </w:r>
            <w:r w:rsidDel="00000000" w:rsidR="00000000" w:rsidRPr="00000000">
              <w:rPr>
                <w:rtl w:val="0"/>
              </w:rPr>
            </w:r>
          </w:p>
        </w:tc>
        <w:tc>
          <w:tcPr>
            <w:tcBorders>
              <w:bottom w:color="000000" w:space="0" w:sz="4" w:val="single"/>
            </w:tcBorders>
            <w:shd w:fill="ffc000" w:val="clear"/>
            <w:vAlign w:val="center"/>
          </w:tcPr>
          <w:p w:rsidR="00000000" w:rsidDel="00000000" w:rsidP="00000000" w:rsidRDefault="00000000" w:rsidRPr="00000000" w14:paraId="000000B5">
            <w:pPr>
              <w:pageBreakBefore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Medium </w:t>
            </w:r>
          </w:p>
        </w:tc>
        <w:tc>
          <w:tcPr>
            <w:shd w:fill="ff0000" w:val="clear"/>
            <w:vAlign w:val="center"/>
          </w:tcPr>
          <w:p w:rsidR="00000000" w:rsidDel="00000000" w:rsidP="00000000" w:rsidRDefault="00000000" w:rsidRPr="00000000" w14:paraId="000000B6">
            <w:pPr>
              <w:pageBreakBefore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High </w:t>
            </w:r>
          </w:p>
        </w:tc>
        <w:tc>
          <w:tcPr>
            <w:shd w:fill="ff0000" w:val="clear"/>
            <w:vAlign w:val="center"/>
          </w:tcPr>
          <w:p w:rsidR="00000000" w:rsidDel="00000000" w:rsidP="00000000" w:rsidRDefault="00000000" w:rsidRPr="00000000" w14:paraId="000000B7">
            <w:pPr>
              <w:pageBreakBefore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High </w:t>
            </w:r>
          </w:p>
        </w:tc>
        <w:tc>
          <w:tcPr>
            <w:shd w:fill="ff0000" w:val="clear"/>
            <w:vAlign w:val="center"/>
          </w:tcPr>
          <w:p w:rsidR="00000000" w:rsidDel="00000000" w:rsidP="00000000" w:rsidRDefault="00000000" w:rsidRPr="00000000" w14:paraId="000000B8">
            <w:pPr>
              <w:pageBreakBefore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High </w:t>
            </w:r>
          </w:p>
        </w:tc>
        <w:tc>
          <w:tcPr>
            <w:shd w:fill="ff0000" w:val="clear"/>
            <w:vAlign w:val="center"/>
          </w:tcPr>
          <w:p w:rsidR="00000000" w:rsidDel="00000000" w:rsidP="00000000" w:rsidRDefault="00000000" w:rsidRPr="00000000" w14:paraId="000000B9">
            <w:pPr>
              <w:pageBreakBefore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High </w:t>
            </w:r>
          </w:p>
        </w:tc>
      </w:tr>
      <w:tr>
        <w:trPr>
          <w:cantSplit w:val="0"/>
          <w:trHeight w:val="380" w:hRule="atLeast"/>
          <w:tblHeader w:val="0"/>
        </w:trPr>
        <w:tc>
          <w:tcPr>
            <w:vMerge w:val="continue"/>
            <w:tcBorders>
              <w:top w:color="000000" w:space="0" w:sz="4" w:val="single"/>
              <w:left w:color="000000" w:space="0" w:sz="4" w:val="single"/>
              <w:bottom w:color="000000" w:space="0" w:sz="6" w:val="single"/>
            </w:tcBorders>
            <w:shd w:fill="d9d9d9" w:val="clear"/>
            <w:vAlign w:val="center"/>
          </w:tcPr>
          <w:p w:rsidR="00000000" w:rsidDel="00000000" w:rsidP="00000000" w:rsidRDefault="00000000" w:rsidRPr="00000000" w14:paraId="000000BA">
            <w:pPr>
              <w:pageBreakBefore w:val="0"/>
              <w:spacing w:after="0" w:line="240" w:lineRule="auto"/>
              <w:ind w:left="113" w:right="113" w:firstLine="0"/>
              <w:jc w:val="center"/>
              <w:rPr>
                <w:rFonts w:ascii="Tahoma" w:cs="Tahoma" w:eastAsia="Tahoma" w:hAnsi="Tahoma"/>
                <w:sz w:val="24"/>
                <w:szCs w:val="24"/>
              </w:rPr>
            </w:pPr>
            <w:r w:rsidDel="00000000" w:rsidR="00000000" w:rsidRPr="00000000">
              <w:rPr>
                <w:rtl w:val="0"/>
              </w:rPr>
            </w:r>
          </w:p>
        </w:tc>
        <w:tc>
          <w:tcPr>
            <w:vAlign w:val="center"/>
          </w:tcPr>
          <w:p w:rsidR="00000000" w:rsidDel="00000000" w:rsidP="00000000" w:rsidRDefault="00000000" w:rsidRPr="00000000" w14:paraId="000000BB">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rtl w:val="0"/>
              </w:rPr>
              <w:t xml:space="preserve">Possible                 4</w:t>
            </w:r>
            <w:r w:rsidDel="00000000" w:rsidR="00000000" w:rsidRPr="00000000">
              <w:rPr>
                <w:rtl w:val="0"/>
              </w:rPr>
            </w:r>
          </w:p>
        </w:tc>
        <w:tc>
          <w:tcPr>
            <w:shd w:fill="92d050" w:val="clear"/>
            <w:vAlign w:val="center"/>
          </w:tcPr>
          <w:p w:rsidR="00000000" w:rsidDel="00000000" w:rsidP="00000000" w:rsidRDefault="00000000" w:rsidRPr="00000000" w14:paraId="000000BC">
            <w:pPr>
              <w:pageBreakBefore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Low      </w:t>
            </w:r>
          </w:p>
        </w:tc>
        <w:tc>
          <w:tcPr>
            <w:tcBorders>
              <w:bottom w:color="000000" w:space="0" w:sz="4" w:val="single"/>
            </w:tcBorders>
            <w:shd w:fill="ffc000" w:val="clear"/>
            <w:vAlign w:val="center"/>
          </w:tcPr>
          <w:p w:rsidR="00000000" w:rsidDel="00000000" w:rsidP="00000000" w:rsidRDefault="00000000" w:rsidRPr="00000000" w14:paraId="000000BD">
            <w:pPr>
              <w:pageBreakBefore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Medium </w:t>
            </w:r>
          </w:p>
        </w:tc>
        <w:tc>
          <w:tcPr>
            <w:shd w:fill="ff0000" w:val="clear"/>
            <w:vAlign w:val="center"/>
          </w:tcPr>
          <w:p w:rsidR="00000000" w:rsidDel="00000000" w:rsidP="00000000" w:rsidRDefault="00000000" w:rsidRPr="00000000" w14:paraId="000000BE">
            <w:pPr>
              <w:pageBreakBefore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High </w:t>
            </w:r>
          </w:p>
        </w:tc>
        <w:tc>
          <w:tcPr>
            <w:shd w:fill="ff0000" w:val="clear"/>
            <w:vAlign w:val="center"/>
          </w:tcPr>
          <w:p w:rsidR="00000000" w:rsidDel="00000000" w:rsidP="00000000" w:rsidRDefault="00000000" w:rsidRPr="00000000" w14:paraId="000000BF">
            <w:pPr>
              <w:pageBreakBefore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High </w:t>
            </w:r>
          </w:p>
        </w:tc>
        <w:tc>
          <w:tcPr>
            <w:shd w:fill="ff0000" w:val="clear"/>
            <w:vAlign w:val="center"/>
          </w:tcPr>
          <w:p w:rsidR="00000000" w:rsidDel="00000000" w:rsidP="00000000" w:rsidRDefault="00000000" w:rsidRPr="00000000" w14:paraId="000000C0">
            <w:pPr>
              <w:pageBreakBefore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High </w:t>
            </w:r>
          </w:p>
        </w:tc>
      </w:tr>
      <w:tr>
        <w:trPr>
          <w:cantSplit w:val="0"/>
          <w:trHeight w:val="420" w:hRule="atLeast"/>
          <w:tblHeader w:val="0"/>
        </w:trPr>
        <w:tc>
          <w:tcPr>
            <w:vMerge w:val="continue"/>
            <w:tcBorders>
              <w:top w:color="000000" w:space="0" w:sz="4" w:val="single"/>
              <w:left w:color="000000" w:space="0" w:sz="4" w:val="single"/>
              <w:bottom w:color="000000" w:space="0" w:sz="6" w:val="single"/>
            </w:tcBorders>
            <w:shd w:fill="d9d9d9" w:val="clear"/>
            <w:vAlign w:val="center"/>
          </w:tcPr>
          <w:p w:rsidR="00000000" w:rsidDel="00000000" w:rsidP="00000000" w:rsidRDefault="00000000" w:rsidRPr="00000000" w14:paraId="000000C1">
            <w:pPr>
              <w:pageBreakBefore w:val="0"/>
              <w:spacing w:after="0" w:line="240" w:lineRule="auto"/>
              <w:ind w:left="113" w:right="113" w:firstLine="0"/>
              <w:jc w:val="center"/>
              <w:rPr>
                <w:rFonts w:ascii="Tahoma" w:cs="Tahoma" w:eastAsia="Tahoma" w:hAnsi="Tahoma"/>
                <w:sz w:val="24"/>
                <w:szCs w:val="24"/>
              </w:rPr>
            </w:pPr>
            <w:r w:rsidDel="00000000" w:rsidR="00000000" w:rsidRPr="00000000">
              <w:rPr>
                <w:rtl w:val="0"/>
              </w:rPr>
            </w:r>
          </w:p>
        </w:tc>
        <w:tc>
          <w:tcPr>
            <w:vAlign w:val="center"/>
          </w:tcPr>
          <w:p w:rsidR="00000000" w:rsidDel="00000000" w:rsidP="00000000" w:rsidRDefault="00000000" w:rsidRPr="00000000" w14:paraId="000000C2">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rtl w:val="0"/>
              </w:rPr>
              <w:t xml:space="preserve">Unlikely                  3</w:t>
            </w:r>
            <w:r w:rsidDel="00000000" w:rsidR="00000000" w:rsidRPr="00000000">
              <w:rPr>
                <w:rtl w:val="0"/>
              </w:rPr>
            </w:r>
          </w:p>
        </w:tc>
        <w:tc>
          <w:tcPr>
            <w:shd w:fill="92d050" w:val="clear"/>
            <w:vAlign w:val="center"/>
          </w:tcPr>
          <w:p w:rsidR="00000000" w:rsidDel="00000000" w:rsidP="00000000" w:rsidRDefault="00000000" w:rsidRPr="00000000" w14:paraId="000000C3">
            <w:pPr>
              <w:pageBreakBefore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Low      </w:t>
            </w:r>
          </w:p>
        </w:tc>
        <w:tc>
          <w:tcPr>
            <w:shd w:fill="92d050" w:val="clear"/>
            <w:vAlign w:val="center"/>
          </w:tcPr>
          <w:p w:rsidR="00000000" w:rsidDel="00000000" w:rsidP="00000000" w:rsidRDefault="00000000" w:rsidRPr="00000000" w14:paraId="000000C4">
            <w:pPr>
              <w:pageBreakBefore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Low </w:t>
            </w:r>
          </w:p>
        </w:tc>
        <w:tc>
          <w:tcPr>
            <w:shd w:fill="ffc000" w:val="clear"/>
            <w:vAlign w:val="center"/>
          </w:tcPr>
          <w:p w:rsidR="00000000" w:rsidDel="00000000" w:rsidP="00000000" w:rsidRDefault="00000000" w:rsidRPr="00000000" w14:paraId="000000C5">
            <w:pPr>
              <w:pageBreakBefore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Medium </w:t>
            </w:r>
          </w:p>
        </w:tc>
        <w:tc>
          <w:tcPr>
            <w:shd w:fill="ff0000" w:val="clear"/>
            <w:vAlign w:val="center"/>
          </w:tcPr>
          <w:p w:rsidR="00000000" w:rsidDel="00000000" w:rsidP="00000000" w:rsidRDefault="00000000" w:rsidRPr="00000000" w14:paraId="000000C6">
            <w:pPr>
              <w:pageBreakBefore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High </w:t>
            </w:r>
          </w:p>
        </w:tc>
        <w:tc>
          <w:tcPr>
            <w:shd w:fill="ff0000" w:val="clear"/>
            <w:vAlign w:val="center"/>
          </w:tcPr>
          <w:p w:rsidR="00000000" w:rsidDel="00000000" w:rsidP="00000000" w:rsidRDefault="00000000" w:rsidRPr="00000000" w14:paraId="000000C7">
            <w:pPr>
              <w:pageBreakBefore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High </w:t>
            </w:r>
          </w:p>
        </w:tc>
      </w:tr>
      <w:tr>
        <w:trPr>
          <w:cantSplit w:val="0"/>
          <w:trHeight w:val="380" w:hRule="atLeast"/>
          <w:tblHeader w:val="0"/>
        </w:trPr>
        <w:tc>
          <w:tcPr>
            <w:vMerge w:val="continue"/>
            <w:tcBorders>
              <w:top w:color="000000" w:space="0" w:sz="4" w:val="single"/>
              <w:left w:color="000000" w:space="0" w:sz="4" w:val="single"/>
              <w:bottom w:color="000000" w:space="0" w:sz="6" w:val="single"/>
            </w:tcBorders>
            <w:shd w:fill="d9d9d9" w:val="clear"/>
            <w:vAlign w:val="center"/>
          </w:tcPr>
          <w:p w:rsidR="00000000" w:rsidDel="00000000" w:rsidP="00000000" w:rsidRDefault="00000000" w:rsidRPr="00000000" w14:paraId="000000C8">
            <w:pPr>
              <w:pageBreakBefore w:val="0"/>
              <w:spacing w:after="0" w:line="240" w:lineRule="auto"/>
              <w:ind w:left="113" w:right="113" w:firstLine="0"/>
              <w:jc w:val="center"/>
              <w:rPr>
                <w:rFonts w:ascii="Tahoma" w:cs="Tahoma" w:eastAsia="Tahoma" w:hAnsi="Tahoma"/>
                <w:sz w:val="24"/>
                <w:szCs w:val="24"/>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C9">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rtl w:val="0"/>
              </w:rPr>
              <w:t xml:space="preserve">Rare                        2</w:t>
            </w:r>
            <w:r w:rsidDel="00000000" w:rsidR="00000000" w:rsidRPr="00000000">
              <w:rPr>
                <w:rtl w:val="0"/>
              </w:rPr>
            </w:r>
          </w:p>
        </w:tc>
        <w:tc>
          <w:tcPr>
            <w:tcBorders>
              <w:bottom w:color="000000" w:space="0" w:sz="4" w:val="single"/>
            </w:tcBorders>
            <w:shd w:fill="92d050" w:val="clear"/>
            <w:vAlign w:val="center"/>
          </w:tcPr>
          <w:p w:rsidR="00000000" w:rsidDel="00000000" w:rsidP="00000000" w:rsidRDefault="00000000" w:rsidRPr="00000000" w14:paraId="000000CA">
            <w:pPr>
              <w:pageBreakBefore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Low      </w:t>
            </w:r>
          </w:p>
        </w:tc>
        <w:tc>
          <w:tcPr>
            <w:tcBorders>
              <w:bottom w:color="000000" w:space="0" w:sz="4" w:val="single"/>
            </w:tcBorders>
            <w:shd w:fill="92d050" w:val="clear"/>
            <w:vAlign w:val="center"/>
          </w:tcPr>
          <w:p w:rsidR="00000000" w:rsidDel="00000000" w:rsidP="00000000" w:rsidRDefault="00000000" w:rsidRPr="00000000" w14:paraId="000000CB">
            <w:pPr>
              <w:pageBreakBefore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Low </w:t>
            </w:r>
          </w:p>
        </w:tc>
        <w:tc>
          <w:tcPr>
            <w:tcBorders>
              <w:bottom w:color="000000" w:space="0" w:sz="4" w:val="single"/>
            </w:tcBorders>
            <w:shd w:fill="92d050" w:val="clear"/>
            <w:vAlign w:val="center"/>
          </w:tcPr>
          <w:p w:rsidR="00000000" w:rsidDel="00000000" w:rsidP="00000000" w:rsidRDefault="00000000" w:rsidRPr="00000000" w14:paraId="000000CC">
            <w:pPr>
              <w:pageBreakBefore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Low </w:t>
            </w:r>
          </w:p>
        </w:tc>
        <w:tc>
          <w:tcPr>
            <w:tcBorders>
              <w:bottom w:color="000000" w:space="0" w:sz="4" w:val="single"/>
            </w:tcBorders>
            <w:shd w:fill="ffc000" w:val="clear"/>
            <w:vAlign w:val="center"/>
          </w:tcPr>
          <w:p w:rsidR="00000000" w:rsidDel="00000000" w:rsidP="00000000" w:rsidRDefault="00000000" w:rsidRPr="00000000" w14:paraId="000000CD">
            <w:pPr>
              <w:pageBreakBefore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Medium </w:t>
            </w:r>
          </w:p>
        </w:tc>
        <w:tc>
          <w:tcPr>
            <w:tcBorders>
              <w:bottom w:color="000000" w:space="0" w:sz="4" w:val="single"/>
            </w:tcBorders>
            <w:shd w:fill="ff0000" w:val="clear"/>
            <w:vAlign w:val="center"/>
          </w:tcPr>
          <w:p w:rsidR="00000000" w:rsidDel="00000000" w:rsidP="00000000" w:rsidRDefault="00000000" w:rsidRPr="00000000" w14:paraId="000000CE">
            <w:pPr>
              <w:pageBreakBefore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High </w:t>
            </w:r>
          </w:p>
        </w:tc>
      </w:tr>
      <w:tr>
        <w:trPr>
          <w:cantSplit w:val="0"/>
          <w:trHeight w:val="400" w:hRule="atLeast"/>
          <w:tblHeader w:val="0"/>
        </w:trPr>
        <w:tc>
          <w:tcPr>
            <w:vMerge w:val="continue"/>
            <w:tcBorders>
              <w:top w:color="000000" w:space="0" w:sz="4" w:val="single"/>
              <w:left w:color="000000" w:space="0" w:sz="4" w:val="single"/>
              <w:bottom w:color="000000" w:space="0" w:sz="6" w:val="single"/>
            </w:tcBorders>
            <w:shd w:fill="d9d9d9" w:val="clear"/>
            <w:vAlign w:val="center"/>
          </w:tcPr>
          <w:p w:rsidR="00000000" w:rsidDel="00000000" w:rsidP="00000000" w:rsidRDefault="00000000" w:rsidRPr="00000000" w14:paraId="000000CF">
            <w:pPr>
              <w:pageBreakBefore w:val="0"/>
              <w:spacing w:after="0" w:line="240" w:lineRule="auto"/>
              <w:ind w:left="113" w:right="113" w:firstLine="0"/>
              <w:jc w:val="center"/>
              <w:rPr>
                <w:rFonts w:ascii="Tahoma" w:cs="Tahoma" w:eastAsia="Tahoma" w:hAnsi="Tahoma"/>
                <w:sz w:val="24"/>
                <w:szCs w:val="24"/>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D0">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rtl w:val="0"/>
              </w:rPr>
              <w:t xml:space="preserve">Almost  Never        1</w:t>
            </w:r>
            <w:r w:rsidDel="00000000" w:rsidR="00000000" w:rsidRPr="00000000">
              <w:rPr>
                <w:rtl w:val="0"/>
              </w:rPr>
            </w:r>
          </w:p>
        </w:tc>
        <w:tc>
          <w:tcPr>
            <w:tcBorders>
              <w:bottom w:color="000000" w:space="0" w:sz="4" w:val="single"/>
            </w:tcBorders>
            <w:shd w:fill="92d050" w:val="clear"/>
            <w:vAlign w:val="center"/>
          </w:tcPr>
          <w:p w:rsidR="00000000" w:rsidDel="00000000" w:rsidP="00000000" w:rsidRDefault="00000000" w:rsidRPr="00000000" w14:paraId="000000D1">
            <w:pPr>
              <w:pageBreakBefore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Low      </w:t>
            </w:r>
          </w:p>
        </w:tc>
        <w:tc>
          <w:tcPr>
            <w:tcBorders>
              <w:bottom w:color="000000" w:space="0" w:sz="4" w:val="single"/>
            </w:tcBorders>
            <w:shd w:fill="92d050" w:val="clear"/>
            <w:vAlign w:val="center"/>
          </w:tcPr>
          <w:p w:rsidR="00000000" w:rsidDel="00000000" w:rsidP="00000000" w:rsidRDefault="00000000" w:rsidRPr="00000000" w14:paraId="000000D2">
            <w:pPr>
              <w:pageBreakBefore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Low </w:t>
            </w:r>
          </w:p>
        </w:tc>
        <w:tc>
          <w:tcPr>
            <w:tcBorders>
              <w:bottom w:color="000000" w:space="0" w:sz="4" w:val="single"/>
            </w:tcBorders>
            <w:shd w:fill="92d050" w:val="clear"/>
            <w:vAlign w:val="center"/>
          </w:tcPr>
          <w:p w:rsidR="00000000" w:rsidDel="00000000" w:rsidP="00000000" w:rsidRDefault="00000000" w:rsidRPr="00000000" w14:paraId="000000D3">
            <w:pPr>
              <w:pageBreakBefore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Low </w:t>
            </w:r>
          </w:p>
        </w:tc>
        <w:tc>
          <w:tcPr>
            <w:tcBorders>
              <w:bottom w:color="000000" w:space="0" w:sz="4" w:val="single"/>
            </w:tcBorders>
            <w:shd w:fill="92d050" w:val="clear"/>
            <w:vAlign w:val="center"/>
          </w:tcPr>
          <w:p w:rsidR="00000000" w:rsidDel="00000000" w:rsidP="00000000" w:rsidRDefault="00000000" w:rsidRPr="00000000" w14:paraId="000000D4">
            <w:pPr>
              <w:pageBreakBefore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Low</w:t>
            </w:r>
          </w:p>
        </w:tc>
        <w:tc>
          <w:tcPr>
            <w:tcBorders>
              <w:bottom w:color="000000" w:space="0" w:sz="4" w:val="single"/>
            </w:tcBorders>
            <w:shd w:fill="ffc000" w:val="clear"/>
            <w:vAlign w:val="center"/>
          </w:tcPr>
          <w:p w:rsidR="00000000" w:rsidDel="00000000" w:rsidP="00000000" w:rsidRDefault="00000000" w:rsidRPr="00000000" w14:paraId="000000D5">
            <w:pPr>
              <w:pageBreakBefore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Medium </w:t>
            </w:r>
          </w:p>
        </w:tc>
      </w:tr>
    </w:tbl>
    <w:p w:rsidR="00000000" w:rsidDel="00000000" w:rsidP="00000000" w:rsidRDefault="00000000" w:rsidRPr="00000000" w14:paraId="000000D6">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D7">
      <w:pPr>
        <w:pageBreakBefore w:val="0"/>
        <w:spacing w:after="0" w:line="240" w:lineRule="auto"/>
        <w:rPr>
          <w:sz w:val="20"/>
          <w:szCs w:val="20"/>
        </w:rPr>
      </w:pPr>
      <w:r w:rsidDel="00000000" w:rsidR="00000000" w:rsidRPr="00000000">
        <w:rPr>
          <w:rtl w:val="0"/>
        </w:rPr>
      </w:r>
    </w:p>
    <w:sectPr>
      <w:headerReference r:id="rId7" w:type="default"/>
      <w:footerReference r:id="rId8" w:type="default"/>
      <w:pgSz w:h="11906" w:w="16838" w:orient="landscape"/>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jc w:val="right"/>
      <w:rPr/>
    </w:pPr>
    <w:r w:rsidDel="00000000" w:rsidR="00000000" w:rsidRPr="00000000">
      <w:rPr>
        <w:rFonts w:ascii="Calibri" w:cs="Calibri" w:eastAsia="Calibri" w:hAnsi="Calibri"/>
        <w:b w:val="0"/>
        <w:sz w:val="22"/>
        <w:szCs w:val="22"/>
      </w:rPr>
      <w:fldChar w:fldCharType="begin"/>
      <w:instrText xml:space="preserve">PAGE</w:instrText>
      <w:fldChar w:fldCharType="separate"/>
      <w:fldChar w:fldCharType="end"/>
    </w:r>
    <w:r w:rsidDel="00000000" w:rsidR="00000000" w:rsidRPr="00000000">
      <w:rPr>
        <w:rFonts w:ascii="Calibri" w:cs="Calibri" w:eastAsia="Calibri" w:hAnsi="Calibri"/>
        <w:b w:val="0"/>
        <w:sz w:val="22"/>
        <w:szCs w:val="22"/>
        <w:rtl w:val="0"/>
      </w:rPr>
      <w:t xml:space="preserve"> | Page</w:t>
    </w:r>
    <w:r w:rsidDel="00000000" w:rsidR="00000000" w:rsidRPr="00000000">
      <w:rPr>
        <w:rtl w:val="0"/>
      </w:rPr>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tabs>
        <w:tab w:val="left" w:pos="2580"/>
        <w:tab w:val="left" w:pos="2985"/>
        <w:tab w:val="left" w:pos="9065"/>
      </w:tabs>
      <w:spacing w:after="120" w:before="708" w:line="276" w:lineRule="auto"/>
      <w:rPr>
        <w:rFonts w:ascii="Calibri" w:cs="Calibri" w:eastAsia="Calibri" w:hAnsi="Calibri"/>
        <w:b w:val="1"/>
        <w:sz w:val="56"/>
        <w:szCs w:val="56"/>
      </w:rPr>
    </w:pPr>
    <w:r w:rsidDel="00000000" w:rsidR="00000000" w:rsidRPr="00000000">
      <w:rPr>
        <w:rFonts w:ascii="Tahoma" w:cs="Tahoma" w:eastAsia="Tahoma" w:hAnsi="Tahoma"/>
        <w:b w:val="1"/>
        <w:color w:val="000000"/>
        <w:sz w:val="22"/>
        <w:szCs w:val="22"/>
      </w:rPr>
      <w:drawing>
        <wp:inline distB="0" distT="0" distL="114300" distR="114300">
          <wp:extent cx="1820545" cy="939165"/>
          <wp:effectExtent b="0" l="0" r="0" t="0"/>
          <wp:docPr descr="SUSU Logo (Web Use)" id="2" name="image1.jpg"/>
          <a:graphic>
            <a:graphicData uri="http://schemas.openxmlformats.org/drawingml/2006/picture">
              <pic:pic>
                <pic:nvPicPr>
                  <pic:cNvPr descr="SUSU Logo (Web Use)" id="0" name="image1.jpg"/>
                  <pic:cNvPicPr preferRelativeResize="0"/>
                </pic:nvPicPr>
                <pic:blipFill>
                  <a:blip r:embed="rId1"/>
                  <a:srcRect b="0" l="0" r="0" t="0"/>
                  <a:stretch>
                    <a:fillRect/>
                  </a:stretch>
                </pic:blipFill>
                <pic:spPr>
                  <a:xfrm>
                    <a:off x="0" y="0"/>
                    <a:ext cx="1820545" cy="939165"/>
                  </a:xfrm>
                  <a:prstGeom prst="rect"/>
                  <a:ln/>
                </pic:spPr>
              </pic:pic>
            </a:graphicData>
          </a:graphic>
        </wp:inline>
      </w:drawing>
    </w:r>
    <w:r w:rsidDel="00000000" w:rsidR="00000000" w:rsidRPr="00000000">
      <w:rPr>
        <w:rFonts w:ascii="Calibri" w:cs="Calibri" w:eastAsia="Calibri" w:hAnsi="Calibri"/>
        <w:b w:val="1"/>
        <w:sz w:val="56"/>
        <w:szCs w:val="56"/>
        <w:rtl w:val="0"/>
      </w:rPr>
      <w:t xml:space="preserve">General Risk Assessment</w:t>
      <w:tab/>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tabs>
        <w:tab w:val="left" w:pos="2580"/>
        <w:tab w:val="left" w:pos="2985"/>
      </w:tabs>
      <w:spacing w:after="120" w:before="0" w:line="276" w:lineRule="auto"/>
      <w:rPr>
        <w:rFonts w:ascii="Calibri" w:cs="Calibri" w:eastAsia="Calibri" w:hAnsi="Calibri"/>
        <w:b w:val="0"/>
        <w:color w:val="4f81bd"/>
        <w:sz w:val="22"/>
        <w:szCs w:val="22"/>
      </w:rPr>
    </w:pP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cPr>
      <w:shd w:fill="ffffff" w:val="clear"/>
    </w:tcPr>
    <w:tblStylePr w:type="band1Horz">
      <w:pPr/>
      <w:r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band1Vert">
      <w:pPr/>
      <w:r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spacing w:after="0" w:before="0" w:line="240" w:lineRule="auto"/>
      </w:pPr>
      <w:rPr>
        <w:b w:val="1"/>
      </w:rPr>
      <w:tcPr>
        <w:shd w:fill="4f81bd" w:val="clear"/>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Mar>
          <w:top w:w="0.0" w:type="dxa"/>
          <w:left w:w="115.0" w:type="dxa"/>
          <w:bottom w:w="0.0" w:type="dxa"/>
          <w:right w:w="115.0" w:type="dxa"/>
        </w:tcMar>
      </w:tcPr>
    </w:tblStyle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cPr>
      <w:shd w:fill="ffffff" w:val="clear"/>
    </w:tcPr>
    <w:tblStylePr w:type="band1Horz">
      <w:pPr/>
      <w:r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band1Vert">
      <w:pPr/>
      <w:r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spacing w:after="0" w:before="0" w:line="240" w:lineRule="auto"/>
      </w:pPr>
      <w:rPr>
        <w:b w:val="1"/>
      </w:rPr>
      <w:tcPr>
        <w:shd w:fill="4f81bd" w:val="clear"/>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Mar>
          <w:top w:w="0.0" w:type="dxa"/>
          <w:left w:w="115.0" w:type="dxa"/>
          <w:bottom w:w="0.0" w:type="dxa"/>
          <w:right w:w="115.0" w:type="dxa"/>
        </w:tcMar>
      </w:tcPr>
    </w:tblStyle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