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626"/>
        <w:gridCol w:w="2928"/>
        <w:gridCol w:w="977"/>
        <w:gridCol w:w="2242"/>
        <w:tblGridChange w:id="0">
          <w:tblGrid>
            <w:gridCol w:w="3539"/>
            <w:gridCol w:w="5626"/>
            <w:gridCol w:w="2928"/>
            <w:gridCol w:w="977"/>
            <w:gridCol w:w="2242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5"/>
            <w:shd w:fill="80808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 for the activity of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Christian Union - Helping Students Move Into Halls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ind w:left="-180" w:hanging="180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2222/08/25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Southampton University Christian Union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Assessor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Ethan Shillito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Elijah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 off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170" w:right="0" w:firstLine="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color w:val="000000"/>
                <w:sz w:val="22"/>
                <w:szCs w:val="22"/>
                <w:rtl w:val="0"/>
              </w:rPr>
              <w:t xml:space="preserve">N/A, please upload to groupshub for digital sign-off by SUSU Activities 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of event/activity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Members of the Christian Union will be around at the university halls to help new students move in and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giving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out some free cans of food as a welcome present.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hd w:fill="bfbfbf" w:val="clear"/>
        <w:spacing w:after="0" w:lineRule="auto"/>
        <w:rPr>
          <w:rFonts w:ascii="Georgia" w:cs="Georgia" w:eastAsia="Georgia" w:hAnsi="Georg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88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2725"/>
        <w:gridCol w:w="1940"/>
        <w:gridCol w:w="488"/>
        <w:gridCol w:w="488"/>
        <w:gridCol w:w="488"/>
        <w:gridCol w:w="3039"/>
        <w:gridCol w:w="488"/>
        <w:gridCol w:w="488"/>
        <w:gridCol w:w="488"/>
        <w:gridCol w:w="3017"/>
        <w:tblGridChange w:id="0">
          <w:tblGrid>
            <w:gridCol w:w="1740"/>
            <w:gridCol w:w="2725"/>
            <w:gridCol w:w="1940"/>
            <w:gridCol w:w="488"/>
            <w:gridCol w:w="488"/>
            <w:gridCol w:w="488"/>
            <w:gridCol w:w="3039"/>
            <w:gridCol w:w="488"/>
            <w:gridCol w:w="488"/>
            <w:gridCol w:w="488"/>
            <w:gridCol w:w="3017"/>
          </w:tblGrid>
        </w:tblGridChange>
      </w:tblGrid>
      <w:tr>
        <w:trPr>
          <w:cantSplit w:val="0"/>
          <w:tblHeader w:val="1"/>
        </w:trPr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0" w:hRule="atLeast"/>
          <w:tblHeader w:val="1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Tripping or slipping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Minor injuries, grazes, cuts and bruises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Care will be taken whilst moving, and all CU members must complete manual handling training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Incorrectly carrying or handling heavy objects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Minor back injuries, sprains and strains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Hazard can’t be removed due to the nature of the activity. All CU members must complete manual handling training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CU members will be advised to take regular breaks, so they are not working for prolonged times.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Moving Cars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Being hit by a car, could lead to serious injuries and need or urgent medical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="276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Hazard can’t be removed due to the nature of the Halls move in. CU members will only cross roads at designated crossing points and will walk on footpaths not roads.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CU members will wear society branded blue jumpers, so they will be visible to road users.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Using trolleys to transport bags and boxes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Hitting a member of the public or another CU member. Which would cause minor injuries, bruises and grazes.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of the public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Hazard can’t be removed as trolleys are necessary for moving heavy items. CU members will move at a walking pace when using trolleys and pay attention to where they are going.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Walking up and down stairs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Tripping on stairs causing moderate or major injuries.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Use lifts where available to avoid hazard. Don’t carry too many bags or boxes up the stairs at once.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members will undergo manual handling training and seek assistance carrying items up the stairs where appropriate.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Dehydration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Dehydration can cause weakness and confusion.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CU member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="276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CU members will be instructed to take regular breaks by the assigned leader to rest and have water.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Heat exhaustion or heat stroke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Dizziness, dehydration, muscle cramps, unconsciousness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CU members will all have access to water and shade at a designated area at each Hall.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Ensure the leader is aware of dangers of dehydration and heat related injuries. Only CU members who aren’t at increased risk of heat stroke will be able to attend.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Disturbance to the public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Conflict, noise and crowds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members, those in vicinity and general public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CU members will be instructed to be respectful and only help people who want help.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Medical emergencies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members may become unwell or sustain injury.</w:t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Pre-existing medical conditions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CU members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Call emergency services as required (111/999)</w:t>
            </w:r>
          </w:p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Advise participants to bring personal medication</w:t>
            </w:r>
          </w:p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Members carry out first aid only if qualified and necessary Contact SUSU /Halls Reception for first aid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Incidents are to be reported on as soon as possible ensuring the duty manager/health and safety officer has been informed.</w:t>
            </w:r>
          </w:p>
          <w:p w:rsidR="00000000" w:rsidDel="00000000" w:rsidP="00000000" w:rsidRDefault="00000000" w:rsidRPr="00000000" w14:paraId="000000B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Follow SUSU incident report policy.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Food allergies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Allergic Reaction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User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Committee members will ensure Natasha’s Law is followed. </w:t>
            </w:r>
          </w:p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Food will be prepackaged with a full ingredients list, that we will make sure is clearly visible and not obscured.</w:t>
            </w:r>
          </w:p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Provide disclaimers for food allergies.</w:t>
            </w:r>
          </w:p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Committee members will ensure there is a phone available for emergency calls.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Emergency services to be called in a serious incident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Food Storage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Illness, Food poisoning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User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Follow storage requirements for the cans of food, keeping them separate from other food to avoid allergies</w:t>
            </w:r>
          </w:p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Cans to be stored by a committee member with Food Hygiene- Level 2 training.</w:t>
            </w:r>
          </w:p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Store cans in a space where they won’t receive any damage and check for damage before giving any out.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815"/>
        <w:gridCol w:w="1845"/>
        <w:gridCol w:w="105"/>
        <w:gridCol w:w="870"/>
        <w:gridCol w:w="1020"/>
        <w:gridCol w:w="4290"/>
        <w:gridCol w:w="1770"/>
        <w:tblGridChange w:id="0">
          <w:tblGrid>
            <w:gridCol w:w="675"/>
            <w:gridCol w:w="4815"/>
            <w:gridCol w:w="1845"/>
            <w:gridCol w:w="105"/>
            <w:gridCol w:w="870"/>
            <w:gridCol w:w="1020"/>
            <w:gridCol w:w="4290"/>
            <w:gridCol w:w="1770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1"/>
                <w:sz w:val="24"/>
                <w:szCs w:val="24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40"/>
                <w:szCs w:val="40"/>
                <w:rtl w:val="0"/>
              </w:rPr>
              <w:t xml:space="preserve">Risk Assessment Action Plan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Part no.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Action to be taken, incl. Cost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By whom</w:t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Target date</w:t>
            </w:r>
          </w:p>
        </w:tc>
        <w:tc>
          <w:tcPr>
            <w:tcBorders>
              <w:righ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Review date</w:t>
            </w:r>
          </w:p>
        </w:tc>
        <w:tc>
          <w:tcPr>
            <w:gridSpan w:val="2"/>
            <w:tcBorders>
              <w:lef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Outcome at review date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Manual handling training.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CU members participating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Assign leaders from CU to be present at Halls, oversee CU members and ensure they take necessary breaks.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Ethan Shillito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Decide on designated areas CU members can use as base at each Hall.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Ethan Shillito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Check whether CU members volunteering are at increased risk of heat stroke.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Ethan Shillito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Ensuring food packaging with allergen information clearly labelled.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Ethan Shillito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cans of food are safely stored to prevent damage and keep them clean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SUCU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20/09/25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Ethan S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hillito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Elijah Brown</w:t>
            </w:r>
          </w:p>
        </w:tc>
      </w:tr>
      <w:tr>
        <w:trPr>
          <w:cantSplit w:val="1"/>
          <w:trHeight w:val="606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ETHAN SHILLITO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ind w:left="-180" w:hanging="180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 22/08/25</w:t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ELIJAH BRO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 28/08/2025</w:t>
            </w:r>
          </w:p>
        </w:tc>
      </w:tr>
    </w:tbl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526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7"/>
        <w:gridCol w:w="3938"/>
        <w:gridCol w:w="3656"/>
        <w:gridCol w:w="5147"/>
        <w:tblGridChange w:id="0">
          <w:tblGrid>
            <w:gridCol w:w="2527"/>
            <w:gridCol w:w="3938"/>
            <w:gridCol w:w="3656"/>
            <w:gridCol w:w="5147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31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6950" cy="1457325"/>
                                <a:chOff x="0" y="0"/>
                                <a:chExt cx="2279675" cy="1470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266950" cy="1457325"/>
                                  <a:chOff x="0" y="0"/>
                                  <a:chExt cx="2266950" cy="14573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266950" cy="1457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 rot="10800000">
                                    <a:off x="0" y="0"/>
                                    <a:ext cx="2266950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5" name="Shape 5"/>
                                <wps:spPr>
                                  <a:xfrm>
                                    <a:off x="396716" y="0"/>
                                    <a:ext cx="1473517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 rot="10800000">
                                    <a:off x="226695" y="291464"/>
                                    <a:ext cx="1813560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7" name="Shape 7"/>
                                <wps:spPr>
                                  <a:xfrm>
                                    <a:off x="544067" y="291464"/>
                                    <a:ext cx="1178814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 rot="10800000">
                                    <a:off x="453390" y="582930"/>
                                    <a:ext cx="1360170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9" name="Shape 9"/>
                                <wps:spPr>
                                  <a:xfrm>
                                    <a:off x="691419" y="582930"/>
                                    <a:ext cx="884110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 rot="10800000">
                                    <a:off x="678788" y="874395"/>
                                    <a:ext cx="909373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1" name="Shape 11"/>
                                <wps:spPr>
                                  <a:xfrm>
                                    <a:off x="837928" y="874395"/>
                                    <a:ext cx="591092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 rot="10800000">
                                    <a:off x="913256" y="1165860"/>
                                    <a:ext cx="440436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3" name="Shape 13"/>
                                <wps:spPr>
                                  <a:xfrm>
                                    <a:off x="913256" y="1165860"/>
                                    <a:ext cx="440436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5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0" cy="145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Personal protection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639"/>
        <w:tblW w:w="3879.0" w:type="dxa"/>
        <w:jc w:val="left"/>
        <w:tblLayout w:type="fixed"/>
        <w:tblLook w:val="0400"/>
      </w:tblPr>
      <w:tblGrid>
        <w:gridCol w:w="508"/>
        <w:gridCol w:w="466"/>
        <w:gridCol w:w="580"/>
        <w:gridCol w:w="580"/>
        <w:gridCol w:w="580"/>
        <w:gridCol w:w="580"/>
        <w:gridCol w:w="585"/>
        <w:tblGridChange w:id="0">
          <w:tblGrid>
            <w:gridCol w:w="508"/>
            <w:gridCol w:w="466"/>
            <w:gridCol w:w="580"/>
            <w:gridCol w:w="580"/>
            <w:gridCol w:w="580"/>
            <w:gridCol w:w="580"/>
            <w:gridCol w:w="585"/>
          </w:tblGrid>
        </w:tblGridChange>
      </w:tblGrid>
      <w:tr>
        <w:trPr>
          <w:cantSplit w:val="1"/>
          <w:trHeight w:val="481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68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IMPACT</w:t>
            </w:r>
          </w:p>
        </w:tc>
      </w:tr>
    </w:tbl>
    <w:p w:rsidR="00000000" w:rsidDel="00000000" w:rsidP="00000000" w:rsidRDefault="00000000" w:rsidRPr="00000000" w14:paraId="00000176">
      <w:pPr>
        <w:spacing w:after="0" w:lineRule="auto"/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10606.000000000002" w:tblpY="211"/>
        <w:tblW w:w="47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7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17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A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000000" w:rsidDel="00000000" w:rsidP="00000000" w:rsidRDefault="00000000" w:rsidRPr="00000000" w14:paraId="0000018A">
      <w:pPr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2776538</wp:posOffset>
                </wp:positionH>
                <wp:positionV relativeFrom="paragraph">
                  <wp:posOffset>167323</wp:posOffset>
                </wp:positionV>
                <wp:extent cx="3524250" cy="3324225"/>
                <wp:effectExtent b="0" l="0" r="0" t="0"/>
                <wp:wrapSquare wrapText="bothSides" distB="45720" distT="4572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588638" y="212265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Risk process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impact and likelihood using the tables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risk rating by multiplying the Impact by the likelihood using the coloured matrix.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risk is amber or red – identify control measures to reduce the risk to as low as is reasonably practicable.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red 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do not continue with the activity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Control measures should follow the risk hierarchy, where appropriate as per the pyramid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2776538</wp:posOffset>
                </wp:positionH>
                <wp:positionV relativeFrom="paragraph">
                  <wp:posOffset>167323</wp:posOffset>
                </wp:positionV>
                <wp:extent cx="3524250" cy="3324225"/>
                <wp:effectExtent b="0" l="0" r="0" t="0"/>
                <wp:wrapSquare wrapText="bothSides" distB="45720" distT="45720" distL="114300" distR="11430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3324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10582" w:tblpY="58"/>
        <w:tblW w:w="48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8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Rare e.g. 1 in 100,000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Unlikely e.g. 1 in 10,000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Possible e.g. 1 in 1,000 chance or higher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Likely e.g. 1 in 100 chance or higher</w:t>
            </w:r>
          </w:p>
        </w:tc>
      </w:tr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Very Likely e.g. 1 in 10 chance or higher</w:t>
            </w:r>
          </w:p>
        </w:tc>
      </w:tr>
    </w:tbl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7" w:w="16839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  <w:rtl w:val="0"/>
      </w:rPr>
      <w:t xml:space="preserve">University of Southampton Health &amp; Safety Risk Assessment</w:t>
    </w:r>
  </w:p>
  <w:p w:rsidR="00000000" w:rsidDel="00000000" w:rsidP="00000000" w:rsidRDefault="00000000" w:rsidRPr="00000000" w14:paraId="000001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Version: 2.3/2017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704A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704A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 w:val="1"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 w:val="1"/>
    <w:rsid w:val="00F34A1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F5C8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F5C84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736C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aA8mgxphICJtNJbdQmJQtRbqQ==">CgMxLjA4AHIhMVdoRXVRX3MyQklyZHBIQ2FGRTROUFliX2w0NFVEXzdj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2023-03-23T12:49:00.0000000Z</dcterms:created>
  <dc:creator>Mccargow A.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