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5EDFCE9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25768C">
              <w:rPr>
                <w:rFonts w:ascii="Calibri" w:eastAsia="Calibri" w:hAnsi="Calibri" w:cs="Calibri"/>
                <w:b/>
                <w:bCs/>
              </w:rPr>
              <w:t>Zoe Tay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5D2392FC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2A5D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576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zeet1g23</w:t>
            </w:r>
            <w:r w:rsidR="002A5D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256C84B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2A5DC3">
              <w:rPr>
                <w:rFonts w:ascii="Calibri" w:eastAsia="Calibri" w:hAnsi="Calibri" w:cs="Calibri"/>
                <w:b/>
                <w:bCs/>
              </w:rPr>
              <w:t>Actuarial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7834767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2A5DC3">
              <w:rPr>
                <w:rFonts w:ascii="Calibri" w:eastAsia="Calibri" w:hAnsi="Calibri" w:cs="Calibri"/>
                <w:b/>
                <w:bCs/>
              </w:rPr>
              <w:t xml:space="preserve"> 07</w:t>
            </w:r>
            <w:r w:rsidR="0025768C">
              <w:rPr>
                <w:rFonts w:ascii="Calibri" w:eastAsia="Calibri" w:hAnsi="Calibri" w:cs="Calibri"/>
                <w:b/>
                <w:bCs/>
              </w:rPr>
              <w:t>502724285</w:t>
            </w:r>
          </w:p>
        </w:tc>
      </w:tr>
      <w:tr w:rsidR="22B33E1E" w14:paraId="7A5FE8B9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005BEA5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PwC Career Talk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0ED7F9C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02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69A37FF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100/3023(S/R)</w:t>
            </w:r>
          </w:p>
          <w:p w14:paraId="21B029E9" w14:textId="043EDA3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4F8CF3F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</w:t>
            </w:r>
          </w:p>
          <w:p w14:paraId="3DEA4EC3" w14:textId="514A662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22B33E1E" w14:paraId="1FE158F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2360767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</w:t>
            </w:r>
            <w:r w:rsidR="0025768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:30</w:t>
            </w:r>
          </w:p>
          <w:p w14:paraId="6D38A4FD" w14:textId="19A5ED3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47FC6A3" w14:textId="220B28B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19:30</w:t>
            </w:r>
          </w:p>
          <w:p w14:paraId="71A6D0D2" w14:textId="1FBB5B2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</w:tc>
      </w:tr>
      <w:tr w:rsidR="22B33E1E" w14:paraId="3D07D675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5A91B7" w14:textId="45863FC6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17:30 – Set up venue, ensure PA system is working</w:t>
            </w:r>
          </w:p>
          <w:p w14:paraId="7EE02CBE" w14:textId="682B81FF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18:00 – Doors open, guest arrival</w:t>
            </w:r>
          </w:p>
          <w:p w14:paraId="3DFA533C" w14:textId="5964731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18:15 – Start of lecture</w:t>
            </w:r>
          </w:p>
          <w:p w14:paraId="6B085471" w14:textId="4CAA1D89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19:15 – End of lecture</w:t>
            </w:r>
          </w:p>
          <w:p w14:paraId="556DC24F" w14:textId="7DEDC6B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19:20 – Refreshments (pizza) is served</w:t>
            </w:r>
          </w:p>
          <w:p w14:paraId="064ACB5B" w14:textId="117BA95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19:40 – Pack down</w:t>
            </w:r>
          </w:p>
          <w:p w14:paraId="4B4CBA8C" w14:textId="5AEE3694" w:rsidR="002A5DC3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20:00 – Clear the venue</w:t>
            </w:r>
          </w:p>
          <w:p w14:paraId="44ED548C" w14:textId="71A4AC40" w:rsidR="22B33E1E" w:rsidRPr="002A5DC3" w:rsidRDefault="22B33E1E" w:rsidP="002A5DC3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22B33E1E" w14:paraId="6276D581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10C16D88" w:rsidR="22B33E1E" w:rsidRDefault="002A5DC3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No</w:t>
            </w:r>
            <w:r w:rsidR="22B33E1E"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0C85AE42" w:rsidR="22B33E1E" w:rsidRDefault="22B33E1E" w:rsidP="002A5DC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860CBEE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5436F893" w:rsidR="22B33E1E" w:rsidRPr="0025768C" w:rsidRDefault="0025768C" w:rsidP="22B33E1E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25768C">
              <w:rPr>
                <w:rFonts w:cstheme="minorHAnsi"/>
                <w:color w:val="000000"/>
                <w:sz w:val="24"/>
                <w:szCs w:val="24"/>
              </w:rPr>
              <w:t>Career talk by Rees Cooper from PricewaterhouseCoopers (PwC), who will speak about actuarial work at PwC, career opportunities for actuarial students, and pathways into the profession, followed by a short Q&amp;A session.</w:t>
            </w:r>
            <w:r w:rsidR="22B33E1E" w:rsidRPr="0025768C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67C1945B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1C81F555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Event lead: </w:t>
            </w:r>
            <w:r w:rsidR="002576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Zoe Tay</w:t>
            </w:r>
          </w:p>
          <w:p w14:paraId="46B35C92" w14:textId="0578A4D6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Doors: </w:t>
            </w:r>
            <w:r w:rsidR="002576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Gilliane Chow</w:t>
            </w:r>
          </w:p>
          <w:p w14:paraId="11E04EFB" w14:textId="3E08A180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Food Lead: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Divyansh Bhardwaj</w:t>
            </w:r>
          </w:p>
          <w:p w14:paraId="53266B8E" w14:textId="091F56A0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Volunteers for set up: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Hidir Azlan Shah</w:t>
            </w:r>
          </w:p>
        </w:tc>
      </w:tr>
      <w:tr w:rsidR="22B33E1E" w14:paraId="6B941D4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2446B" w14:textId="1E2A62AE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550947C5" w14:textId="5F360333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Microphone</w:t>
            </w:r>
          </w:p>
          <w:p w14:paraId="2DAB0061" w14:textId="5000704F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Screen with presentation</w:t>
            </w:r>
          </w:p>
          <w:p w14:paraId="10B6F034" w14:textId="0A49D89B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 system</w:t>
            </w:r>
          </w:p>
          <w:p w14:paraId="28C36D53" w14:textId="3625B18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35412E7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D1D37" w14:textId="643647FD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Seatings in the lecture hall</w:t>
            </w: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7EEB3319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Dominos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pizza (will cater for any allergies and dietary requirements)</w:t>
            </w:r>
          </w:p>
        </w:tc>
      </w:tr>
      <w:tr w:rsidR="22B33E1E" w14:paraId="5B5228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03292427" w:rsidR="22B33E1E" w:rsidRPr="002A5DC3" w:rsidRDefault="002A5DC3" w:rsidP="002A5DC3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 will provide first aid kit in case of any emergency</w:t>
            </w:r>
          </w:p>
        </w:tc>
      </w:tr>
      <w:tr w:rsidR="22B33E1E" w14:paraId="3566DB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D74AD4" w14:textId="7D022FFD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</w:tr>
      <w:tr w:rsidR="22B33E1E" w14:paraId="787FF82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(if you would like a more extensive budget tracker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5EE43CA5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No</w:t>
            </w:r>
          </w:p>
        </w:tc>
      </w:tr>
      <w:tr w:rsidR="22B33E1E" w14:paraId="2E5A4AC7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BF872" w14:textId="5F447D75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  <w:r w:rsidR="0025768C">
              <w:rPr>
                <w:rFonts w:ascii="Calibri" w:eastAsia="Calibri" w:hAnsi="Calibri" w:cs="Calibri"/>
                <w:b/>
                <w:bCs/>
              </w:rPr>
              <w:t>PricewaterhouseCoopers (PwC)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A5DB0A5" w14:textId="158453D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25768C">
              <w:rPr>
                <w:rFonts w:ascii="Calibri" w:eastAsia="Calibri" w:hAnsi="Calibri" w:cs="Calibri"/>
                <w:b/>
                <w:bCs/>
              </w:rPr>
              <w:t xml:space="preserve">Rees Cooper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327505AD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r w:rsidR="0025768C">
              <w:rPr>
                <w:rFonts w:ascii="Calibri" w:eastAsia="Calibri" w:hAnsi="Calibri" w:cs="Calibri"/>
                <w:b/>
                <w:bCs/>
              </w:rPr>
              <w:t>rees.m.cooper@pwc.com</w:t>
            </w:r>
          </w:p>
          <w:p w14:paraId="11D7CF46" w14:textId="0A0C96D6" w:rsidR="22B33E1E" w:rsidRDefault="22B33E1E" w:rsidP="22B33E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0B1B90E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22B33E1E" w14:paraId="05C9273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5386C1D8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2A5DC3">
              <w:rPr>
                <w:rFonts w:ascii="Calibri" w:eastAsia="Calibri" w:hAnsi="Calibri" w:cs="Calibri"/>
                <w:b/>
                <w:bCs/>
              </w:rPr>
              <w:t>18:00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625F18D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D0ACDA6" w:rsidR="00777628" w:rsidRDefault="47F21A9E" w:rsidP="22B33E1E">
      <w:pPr>
        <w:rPr>
          <w:rFonts w:ascii="Calibri" w:eastAsia="Calibri" w:hAnsi="Calibri" w:cs="Calibri"/>
          <w:color w:val="FF0000"/>
        </w:rPr>
      </w:pPr>
      <w:r w:rsidRPr="22B33E1E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22B33E1E">
        <w:rPr>
          <w:rFonts w:ascii="Calibri" w:eastAsia="Calibri" w:hAnsi="Calibri" w:cs="Calibri"/>
          <w:color w:val="FF0000"/>
        </w:rPr>
        <w:t>a</w:t>
      </w:r>
      <w:proofErr w:type="spellEnd"/>
      <w:r w:rsidRPr="22B33E1E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5">
        <w:r w:rsidRPr="22B33E1E">
          <w:rPr>
            <w:rStyle w:val="Hyperlink"/>
            <w:rFonts w:ascii="Calibri" w:eastAsia="Calibri" w:hAnsi="Calibri" w:cs="Calibri"/>
          </w:rPr>
          <w:t>this form</w:t>
        </w:r>
      </w:hyperlink>
      <w:r w:rsidRPr="22B33E1E">
        <w:rPr>
          <w:rFonts w:ascii="Calibri" w:eastAsia="Calibri" w:hAnsi="Calibri" w:cs="Calibri"/>
          <w:color w:val="FF0000"/>
        </w:rPr>
        <w:t xml:space="preserve"> to </w:t>
      </w:r>
      <w:hyperlink r:id="rId16">
        <w:r w:rsidRPr="22B33E1E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22B33E1E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7">
        <w:r w:rsidRPr="22B33E1E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E83FE1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83FE1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83FE1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1C2FC084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6DAB5720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17962FA1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669EF699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4F386BD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D70CFB5" w14:textId="09FE5DDA" w:rsidR="00B267B1" w:rsidRDefault="00B267B1" w:rsidP="00B267B1"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830" w:type="pct"/>
            <w:shd w:val="clear" w:color="auto" w:fill="FFFFFF" w:themeFill="background1"/>
          </w:tcPr>
          <w:p w14:paraId="7E633874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BDD03FC" w14:textId="77777777" w:rsidR="00B267B1" w:rsidRDefault="00B267B1" w:rsidP="00B267B1"/>
        </w:tc>
        <w:tc>
          <w:tcPr>
            <w:tcW w:w="637" w:type="pct"/>
            <w:shd w:val="clear" w:color="auto" w:fill="FFFFFF" w:themeFill="background1"/>
          </w:tcPr>
          <w:p w14:paraId="3F79A630" w14:textId="77777777" w:rsidR="00B267B1" w:rsidRDefault="00B267B1" w:rsidP="00B267B1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38EE9AFC" w14:textId="77777777" w:rsidR="00B267B1" w:rsidRDefault="00B267B1" w:rsidP="00B267B1"/>
        </w:tc>
        <w:tc>
          <w:tcPr>
            <w:tcW w:w="164" w:type="pct"/>
            <w:shd w:val="clear" w:color="auto" w:fill="FFFFFF" w:themeFill="background1"/>
          </w:tcPr>
          <w:p w14:paraId="34BC977B" w14:textId="38E9566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20C0CAB" w14:textId="6AA58F60" w:rsidR="00B267B1" w:rsidRDefault="00B267B1" w:rsidP="00B267B1">
            <w:pPr>
              <w:rPr>
                <w:rFonts w:ascii="Lucida Sans" w:hAnsi="Lucida Sans"/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634EE4CB" w14:textId="6C7A58C6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25" w:type="pct"/>
            <w:shd w:val="clear" w:color="auto" w:fill="FFFFFF" w:themeFill="background1"/>
          </w:tcPr>
          <w:p w14:paraId="2CAC8A4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7241CAA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07D14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3F4EA5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CDBE26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2104B5C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BDBA4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5A017B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BAFD8F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64AC366E" w14:textId="77777777" w:rsidR="00B267B1" w:rsidRPr="001274C2" w:rsidRDefault="00B267B1" w:rsidP="00B267B1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DB10F60" w14:textId="659E1942" w:rsidR="00B267B1" w:rsidRDefault="00B267B1" w:rsidP="00B267B1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4CA7A18D" w14:textId="7D3BEFA9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55ED8998" w14:textId="7F661BC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B459FF5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9161FB2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CAB12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6AFAF59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38AB91B2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C4713A" w14:textId="77777777" w:rsidR="00B267B1" w:rsidRPr="001274C2" w:rsidRDefault="00B267B1" w:rsidP="00B267B1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790AF04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B267B1" w:rsidRDefault="00B267B1" w:rsidP="00B267B1">
            <w:r>
              <w:t xml:space="preserve">Setting up of Equipment. E.g. </w:t>
            </w:r>
            <w:r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B267B1" w:rsidRDefault="00B267B1" w:rsidP="00B267B1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B267B1" w:rsidRDefault="00B267B1" w:rsidP="00B267B1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B267B1" w:rsidRDefault="00B267B1" w:rsidP="00B267B1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B267B1" w:rsidRDefault="00B267B1" w:rsidP="00B267B1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>
              <w:t>s, follow manual handling guidelines</w:t>
            </w:r>
          </w:p>
          <w:p w14:paraId="00C1729A" w14:textId="77777777" w:rsidR="00B267B1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B267B1" w:rsidRPr="0025574E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lastRenderedPageBreak/>
              <w:t>Setting up tables will be done by organisers.</w:t>
            </w:r>
          </w:p>
          <w:p w14:paraId="5552C739" w14:textId="3EDAE096" w:rsidR="00B267B1" w:rsidRPr="00C02DD3" w:rsidRDefault="00B267B1" w:rsidP="00B267B1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B267B1" w:rsidRDefault="00B267B1" w:rsidP="00B267B1">
            <w:pPr>
              <w:rPr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B267B1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B267B1" w:rsidRPr="001274C2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B267B1" w:rsidRDefault="00B267B1" w:rsidP="00B267B1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B267B1" w:rsidRPr="00C02DD3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lastRenderedPageBreak/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3C5F045B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B267B1" w:rsidRDefault="00B267B1" w:rsidP="00B267B1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B267B1" w:rsidRDefault="00B267B1" w:rsidP="00B267B1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B267B1" w:rsidRPr="00B73B7F" w:rsidRDefault="00B267B1" w:rsidP="00B267B1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B267B1" w:rsidRPr="00B73B7F" w:rsidRDefault="00B267B1" w:rsidP="00B267B1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B267B1" w:rsidRPr="00B73B7F" w:rsidRDefault="00B267B1" w:rsidP="00B267B1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B267B1" w:rsidRPr="00B73B7F" w:rsidRDefault="00B267B1" w:rsidP="00B267B1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B267B1" w:rsidRDefault="00B267B1" w:rsidP="00B267B1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1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267B1" w:rsidRDefault="00B267B1" w:rsidP="00B267B1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267B1" w:rsidRPr="00B73B7F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B267B1" w:rsidRPr="00D72189" w:rsidRDefault="00B267B1" w:rsidP="00B267B1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3C5F047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B267B1" w:rsidRDefault="00B267B1" w:rsidP="00B267B1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B267B1" w:rsidRDefault="00B267B1" w:rsidP="00B267B1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B267B1" w:rsidRDefault="00B267B1" w:rsidP="00B267B1">
            <w:r>
              <w:t xml:space="preserve">Event organisers and attendees, </w:t>
            </w:r>
            <w:proofErr w:type="gramStart"/>
            <w:r>
              <w:t>general public</w:t>
            </w:r>
            <w:proofErr w:type="gramEnd"/>
            <w: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B267B1" w:rsidRPr="00C335BD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B267B1" w:rsidRPr="00C02DD3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B267B1" w:rsidRPr="00C335BD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3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B267B1" w:rsidRDefault="00B267B1" w:rsidP="00B267B1"/>
          <w:p w14:paraId="3C5F047E" w14:textId="00FDF264" w:rsidR="00B267B1" w:rsidRDefault="00B267B1" w:rsidP="00B267B1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00B267B1" w14:paraId="5B9B119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420BC0D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60D6C8D7" w14:textId="57F0BFC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49FA3BC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1FD48FF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D05A" w14:textId="38A30F6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00BCC3EC" w14:textId="6292D01C" w:rsidR="00B267B1" w:rsidRDefault="00B267B1" w:rsidP="00B267B1"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64B4E330" w14:textId="3546BF61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0A7C99F5" w14:textId="7628B3B8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2B120F" w14:textId="12837EA0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599D7F7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0A2ED830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2285D8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21984DA6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AE791B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3460C349" w14:textId="50CE5DCB" w:rsidR="00B267B1" w:rsidRPr="00C02DD3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64" w:type="pct"/>
            <w:shd w:val="clear" w:color="auto" w:fill="FFFFFF" w:themeFill="background1"/>
          </w:tcPr>
          <w:p w14:paraId="7F308854" w14:textId="17F10AB1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03EB034B" w14:textId="1533E8E4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EA02A0" w14:textId="037A3C56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036969FD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E13D1F8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6B06BC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1739EAC" w14:textId="77777777" w:rsidR="00B267B1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</w:tr>
      <w:tr w:rsidR="00B267B1" w14:paraId="0CA5A16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016DC3F" w14:textId="0FD0977A" w:rsidR="00B267B1" w:rsidRPr="0930CD8F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830" w:type="pct"/>
            <w:shd w:val="clear" w:color="auto" w:fill="FFFFFF" w:themeFill="background1"/>
          </w:tcPr>
          <w:p w14:paraId="504FCDCE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097314D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34B2C2A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55EA3540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80C5299" w14:textId="1509CAF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BC99F22" w14:textId="33BC431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64" w:type="pct"/>
            <w:shd w:val="clear" w:color="auto" w:fill="FFFFFF" w:themeFill="background1"/>
          </w:tcPr>
          <w:p w14:paraId="40EAB63D" w14:textId="5866AFA2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075E28AA" w14:textId="766CB15D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424AC7D1" w14:textId="42DD42FB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25" w:type="pct"/>
            <w:shd w:val="clear" w:color="auto" w:fill="FFFFFF" w:themeFill="background1"/>
          </w:tcPr>
          <w:p w14:paraId="3D5F7D50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13572FA5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2CB8EA8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262C81F9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482F71D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7F4EDC36" w14:textId="77777777" w:rsidR="00B267B1" w:rsidRDefault="00B267B1" w:rsidP="00B267B1"/>
          <w:p w14:paraId="49E07065" w14:textId="0F630B2A" w:rsidR="00B267B1" w:rsidRPr="0930CD8F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t>For store-bought items/snacks, keep packaging to hand for ingredient and allergen information.</w:t>
            </w:r>
            <w:r>
              <w:br/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4244B9DE" w14:textId="65B0145C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19B580E" w14:textId="2F09FFEA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1F8E0C32" w14:textId="2DAB7C77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6D2AD82" w14:textId="77777777" w:rsidR="00B267B1" w:rsidRDefault="00B267B1" w:rsidP="00B267B1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7B572A9E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5A0AD9CC" w14:textId="77777777" w:rsidR="00B267B1" w:rsidRDefault="00B267B1" w:rsidP="00B267B1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6D523E40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27769E5A" w14:textId="072B009C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B267B1" w14:paraId="7A16ED69" w14:textId="77777777" w:rsidTr="00E83FE1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Talks/debates</w:t>
            </w:r>
          </w:p>
          <w:p w14:paraId="042F7E80" w14:textId="58D04C03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referred to enabling/signpost to 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support organisations (e.g. via presentation slide, or by speakers/committee members)</w:t>
            </w:r>
          </w:p>
          <w:p w14:paraId="79534155" w14:textId="11DA74AB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WIDE training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283"/>
        <w:gridCol w:w="1423"/>
        <w:gridCol w:w="548"/>
        <w:gridCol w:w="1388"/>
        <w:gridCol w:w="20"/>
        <w:gridCol w:w="1777"/>
        <w:gridCol w:w="3872"/>
        <w:gridCol w:w="1408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E83FE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B6" w14:textId="77777777" w:rsidTr="00E83FE1">
        <w:trPr>
          <w:trHeight w:val="574"/>
        </w:trPr>
        <w:tc>
          <w:tcPr>
            <w:tcW w:w="218" w:type="pct"/>
          </w:tcPr>
          <w:p w14:paraId="3C5F04B0" w14:textId="7A7D3F00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07" w:type="pct"/>
          </w:tcPr>
          <w:p w14:paraId="3C5F04B1" w14:textId="135CFEC4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Providing first aid kit in case of any emergency</w:t>
            </w:r>
          </w:p>
        </w:tc>
        <w:tc>
          <w:tcPr>
            <w:tcW w:w="470" w:type="pct"/>
          </w:tcPr>
          <w:p w14:paraId="3C5F04B2" w14:textId="45188E36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Gilliane Chow</w:t>
            </w:r>
          </w:p>
        </w:tc>
        <w:tc>
          <w:tcPr>
            <w:tcW w:w="599" w:type="pct"/>
            <w:gridSpan w:val="2"/>
          </w:tcPr>
          <w:p w14:paraId="3C5F04B3" w14:textId="18251092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12/10/2025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B5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2" w14:textId="77777777" w:rsidTr="177BEA2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C0" w14:textId="5313F1B7" w:rsidR="002B165D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E83FE1" w:rsidRPr="00E83FE1">
              <w:rPr>
                <w:rFonts w:ascii="Palace Script MT" w:eastAsia="Lucida Sans" w:hAnsi="Palace Script MT" w:cs="AkayaTelivigala"/>
                <w:color w:val="000000" w:themeColor="text1"/>
                <w:sz w:val="52"/>
                <w:szCs w:val="52"/>
              </w:rPr>
              <w:t>Amiera</w:t>
            </w: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63616481" w14:textId="47B31B9F" w:rsidR="00E83FE1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83FE1" w:rsidRPr="00E83FE1">
              <w:rPr>
                <w:rFonts w:ascii="PilGi" w:eastAsia="PilGi" w:hAnsi="PilGi" w:cs="Arial"/>
                <w:color w:val="000000"/>
                <w:sz w:val="32"/>
                <w:szCs w:val="32"/>
              </w:rPr>
              <w:t xml:space="preserve">Zoe </w:t>
            </w:r>
          </w:p>
          <w:p w14:paraId="3C5F04C1" w14:textId="2CB0C07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83FE1" w:rsidRPr="00E83FE1" w14:paraId="3C5F04C7" w14:textId="77777777" w:rsidTr="00E83FE1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709A7C0D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Amiera </w:t>
            </w:r>
            <w:proofErr w:type="spellStart"/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Amryzal</w:t>
            </w:r>
            <w:proofErr w:type="spellEnd"/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79B2448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83FE1">
              <w:rPr>
                <w:rFonts w:ascii="Lucida Sans" w:eastAsia="Times New Roman" w:hAnsi="Lucida Sans" w:cs="Arial"/>
                <w:color w:val="000000"/>
                <w:szCs w:val="20"/>
              </w:rPr>
              <w:t>8/10/2025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146F16AE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Print name: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Zoe Tay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6A8B2CB3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Date: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8/10/2025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EB8A" w14:textId="77777777" w:rsidR="00B7425F" w:rsidRDefault="00B7425F" w:rsidP="00AC47B4">
      <w:pPr>
        <w:spacing w:after="0" w:line="240" w:lineRule="auto"/>
      </w:pPr>
      <w:r>
        <w:separator/>
      </w:r>
    </w:p>
  </w:endnote>
  <w:endnote w:type="continuationSeparator" w:id="0">
    <w:p w14:paraId="5AFED65A" w14:textId="77777777" w:rsidR="00B7425F" w:rsidRDefault="00B7425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AkayaTelivigala">
    <w:panose1 w:val="020B0604020202020204"/>
    <w:charset w:val="4D"/>
    <w:family w:val="auto"/>
    <w:pitch w:val="variable"/>
    <w:sig w:usb0="00200007" w:usb1="00000000" w:usb2="00000000" w:usb3="00000000" w:csb0="00000093" w:csb1="00000000"/>
  </w:font>
  <w:font w:name="PilGi">
    <w:altName w:val="Malgun Gothic"/>
    <w:panose1 w:val="020B0604020202020204"/>
    <w:charset w:val="81"/>
    <w:family w:val="auto"/>
    <w:pitch w:val="variable"/>
    <w:sig w:usb0="900002E7" w:usb1="19D7FCFF" w:usb2="00000014" w:usb3="00000000" w:csb0="002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BA61" w14:textId="77777777" w:rsidR="00B7425F" w:rsidRDefault="00B7425F" w:rsidP="00AC47B4">
      <w:pPr>
        <w:spacing w:after="0" w:line="240" w:lineRule="auto"/>
      </w:pPr>
      <w:r>
        <w:separator/>
      </w:r>
    </w:p>
  </w:footnote>
  <w:footnote w:type="continuationSeparator" w:id="0">
    <w:p w14:paraId="6C350F25" w14:textId="77777777" w:rsidR="00B7425F" w:rsidRDefault="00B7425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CA5"/>
    <w:multiLevelType w:val="hybridMultilevel"/>
    <w:tmpl w:val="3E907E7A"/>
    <w:lvl w:ilvl="0" w:tplc="989E67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154F"/>
    <w:multiLevelType w:val="hybridMultilevel"/>
    <w:tmpl w:val="0ED424FE"/>
    <w:lvl w:ilvl="0" w:tplc="6B54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9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0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8B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D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2C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0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C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27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A4A6"/>
    <w:multiLevelType w:val="hybridMultilevel"/>
    <w:tmpl w:val="A1BC5786"/>
    <w:lvl w:ilvl="0" w:tplc="3704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44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C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27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E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2E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21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444373">
    <w:abstractNumId w:val="7"/>
  </w:num>
  <w:num w:numId="2" w16cid:durableId="1711296362">
    <w:abstractNumId w:val="5"/>
  </w:num>
  <w:num w:numId="3" w16cid:durableId="1721129384">
    <w:abstractNumId w:val="17"/>
  </w:num>
  <w:num w:numId="4" w16cid:durableId="1743680088">
    <w:abstractNumId w:val="14"/>
  </w:num>
  <w:num w:numId="5" w16cid:durableId="194194388">
    <w:abstractNumId w:val="10"/>
  </w:num>
  <w:num w:numId="6" w16cid:durableId="1017191166">
    <w:abstractNumId w:val="4"/>
  </w:num>
  <w:num w:numId="7" w16cid:durableId="793140381">
    <w:abstractNumId w:val="12"/>
  </w:num>
  <w:num w:numId="8" w16cid:durableId="1365867527">
    <w:abstractNumId w:val="16"/>
  </w:num>
  <w:num w:numId="9" w16cid:durableId="1779062574">
    <w:abstractNumId w:val="2"/>
  </w:num>
  <w:num w:numId="10" w16cid:durableId="1903323223">
    <w:abstractNumId w:val="11"/>
  </w:num>
  <w:num w:numId="11" w16cid:durableId="1539663582">
    <w:abstractNumId w:val="13"/>
  </w:num>
  <w:num w:numId="12" w16cid:durableId="1489831402">
    <w:abstractNumId w:val="1"/>
  </w:num>
  <w:num w:numId="13" w16cid:durableId="1401446936">
    <w:abstractNumId w:val="3"/>
  </w:num>
  <w:num w:numId="14" w16cid:durableId="1082802199">
    <w:abstractNumId w:val="6"/>
  </w:num>
  <w:num w:numId="15" w16cid:durableId="1068111834">
    <w:abstractNumId w:val="15"/>
  </w:num>
  <w:num w:numId="16" w16cid:durableId="1811245879">
    <w:abstractNumId w:val="9"/>
  </w:num>
  <w:num w:numId="17" w16cid:durableId="487404591">
    <w:abstractNumId w:val="8"/>
  </w:num>
  <w:num w:numId="18" w16cid:durableId="98744152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763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5768C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5DC3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267B1"/>
    <w:rsid w:val="00B468E7"/>
    <w:rsid w:val="00B5426F"/>
    <w:rsid w:val="00B55DCE"/>
    <w:rsid w:val="00B56E78"/>
    <w:rsid w:val="00B62E3A"/>
    <w:rsid w:val="00B62F5C"/>
    <w:rsid w:val="00B637BD"/>
    <w:rsid w:val="00B64A95"/>
    <w:rsid w:val="00B6727D"/>
    <w:rsid w:val="00B73B7F"/>
    <w:rsid w:val="00B7425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3C23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2D9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97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3FE1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165D7F0D"/>
    <w:rsid w:val="177BEA29"/>
    <w:rsid w:val="22B33E1E"/>
    <w:rsid w:val="253E2970"/>
    <w:rsid w:val="3598FE29"/>
    <w:rsid w:val="38629545"/>
    <w:rsid w:val="3EF42A65"/>
    <w:rsid w:val="47F21A9E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  <w:style w:type="character" w:styleId="FollowedHyperlink">
    <w:name w:val="FollowedHyperlink"/>
    <w:basedOn w:val="DefaultParagraphFont"/>
    <w:uiPriority w:val="99"/>
    <w:semiHidden/>
    <w:unhideWhenUsed/>
    <w:rsid w:val="00257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mailto:unisecurity@soton.ac.uk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6D84A-0B7F-498E-AEB0-7ADAD383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Zoe Tay (zeet1g23)</cp:lastModifiedBy>
  <cp:revision>2</cp:revision>
  <cp:lastPrinted>2016-04-18T12:10:00Z</cp:lastPrinted>
  <dcterms:created xsi:type="dcterms:W3CDTF">2026-01-27T21:21:00Z</dcterms:created>
  <dcterms:modified xsi:type="dcterms:W3CDTF">2026-01-27T21:21:00Z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