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C2E70" w14:textId="77777777" w:rsidR="004A0C47" w:rsidRDefault="004A0C47"/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1"/>
        <w:gridCol w:w="3981"/>
        <w:gridCol w:w="1607"/>
        <w:gridCol w:w="1843"/>
        <w:gridCol w:w="531"/>
        <w:gridCol w:w="3984"/>
      </w:tblGrid>
      <w:tr w:rsidR="00E928A8" w:rsidRPr="00CE5B1E" w14:paraId="3C5F03FB" w14:textId="77777777" w:rsidTr="00D62AF0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Hlk48747736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54517B2A" w14:textId="77777777" w:rsidR="00E82629" w:rsidRDefault="00A156C3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  <w:p w14:paraId="3C5F03FC" w14:textId="49D45F42" w:rsidR="000D1A3F" w:rsidRPr="008C4A79" w:rsidRDefault="008C4A79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798" w:type="pct"/>
            <w:gridSpan w:val="2"/>
            <w:shd w:val="clear" w:color="auto" w:fill="auto"/>
          </w:tcPr>
          <w:p w14:paraId="3C5F03FD" w14:textId="453ED851" w:rsidR="00A156C3" w:rsidRPr="000D1A3F" w:rsidRDefault="00692FDD" w:rsidP="000D1A3F">
            <w:pP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 w:rsidRPr="00692FDD">
              <w:rPr>
                <w:rFonts w:ascii="Verdana" w:eastAsia="Times New Roman" w:hAnsi="Verdana" w:cs="Times New Roman"/>
                <w:b/>
                <w:lang w:eastAsia="en-GB"/>
              </w:rPr>
              <w:t>Piano Society</w:t>
            </w:r>
          </w:p>
        </w:tc>
        <w:tc>
          <w:tcPr>
            <w:tcW w:w="593" w:type="pct"/>
            <w:shd w:val="clear" w:color="auto" w:fill="auto"/>
          </w:tcPr>
          <w:p w14:paraId="2395864B" w14:textId="77777777" w:rsid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  <w:p w14:paraId="3C5F03FE" w14:textId="718109AC" w:rsidR="000D1A3F" w:rsidRPr="008C4A79" w:rsidRDefault="008C4A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453" w:type="pct"/>
            <w:gridSpan w:val="2"/>
            <w:shd w:val="clear" w:color="auto" w:fill="auto"/>
          </w:tcPr>
          <w:p w14:paraId="3C5F03FF" w14:textId="12825991" w:rsidR="00A156C3" w:rsidRPr="006762D2" w:rsidRDefault="00C4003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23</w:t>
            </w:r>
            <w:r w:rsidR="00692FDD">
              <w:rPr>
                <w:rFonts w:ascii="Verdana" w:eastAsia="Times New Roman" w:hAnsi="Verdana" w:cs="Times New Roman"/>
                <w:lang w:eastAsia="en-GB"/>
              </w:rPr>
              <w:t>/09/2020</w:t>
            </w:r>
          </w:p>
        </w:tc>
      </w:tr>
      <w:tr w:rsidR="005A553C" w:rsidRPr="00CE5B1E" w14:paraId="1673ACC9" w14:textId="77777777" w:rsidTr="004A0C47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0F8265F8" w14:textId="77777777" w:rsidR="005A553C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4A347343" w14:textId="68754815" w:rsidR="000D1A3F" w:rsidRPr="000D1A3F" w:rsidRDefault="005A553C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5936B033" w14:textId="0B63463F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Role</w:t>
            </w:r>
          </w:p>
        </w:tc>
        <w:tc>
          <w:tcPr>
            <w:tcW w:w="1282" w:type="pct"/>
            <w:shd w:val="clear" w:color="auto" w:fill="auto"/>
          </w:tcPr>
          <w:p w14:paraId="46F3EA63" w14:textId="1E16E8DE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Experience/Qualification</w:t>
            </w:r>
          </w:p>
        </w:tc>
      </w:tr>
      <w:tr w:rsidR="005A553C" w:rsidRPr="00CE5B1E" w14:paraId="3C5F0405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627A6094" w14:textId="3F7D5B5D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  <w:p w14:paraId="3C5F0401" w14:textId="76FF30D8" w:rsidR="005A553C" w:rsidRPr="008C4A79" w:rsidRDefault="008C4A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4194CE04" w14:textId="5398F063" w:rsidR="005A553C" w:rsidRPr="00692FDD" w:rsidRDefault="00692FD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692FDD">
              <w:rPr>
                <w:rFonts w:ascii="Verdana" w:eastAsia="Times New Roman" w:hAnsi="Verdana" w:cs="Times New Roman"/>
                <w:highlight w:val="yellow"/>
                <w:lang w:eastAsia="en-GB"/>
              </w:rPr>
              <w:t>Qingyun Hu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4B0433A" w14:textId="1D646E62" w:rsidR="005A553C" w:rsidRPr="00D66E92" w:rsidRDefault="00692FD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692FDD">
              <w:rPr>
                <w:rFonts w:ascii="Verdana" w:eastAsia="Times New Roman" w:hAnsi="Verdana" w:cs="Times New Roman"/>
                <w:highlight w:val="yellow"/>
                <w:lang w:eastAsia="en-GB"/>
              </w:rPr>
              <w:t>Piano Society President</w:t>
            </w:r>
          </w:p>
        </w:tc>
        <w:tc>
          <w:tcPr>
            <w:tcW w:w="1282" w:type="pct"/>
            <w:shd w:val="clear" w:color="auto" w:fill="auto"/>
          </w:tcPr>
          <w:p w14:paraId="3C5F0404" w14:textId="710BDEB8" w:rsidR="005A553C" w:rsidRPr="00D66E92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5A553C">
              <w:rPr>
                <w:rFonts w:ascii="Verdana" w:eastAsia="Times New Roman" w:hAnsi="Verdana" w:cs="Times New Roman"/>
                <w:b/>
                <w:lang w:eastAsia="en-GB"/>
              </w:rPr>
              <w:t>N/A</w:t>
            </w:r>
          </w:p>
        </w:tc>
      </w:tr>
      <w:tr w:rsidR="005A553C" w:rsidRPr="00CE5B1E" w14:paraId="3C5F040B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0B5B43D6" w14:textId="77777777" w:rsidR="005A553C" w:rsidRDefault="005A553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Qualified/Experienced Individual*</w:t>
            </w:r>
          </w:p>
          <w:p w14:paraId="3C5F0406" w14:textId="4B491205" w:rsidR="000D1A3F" w:rsidRPr="008C4A79" w:rsidRDefault="008C4A7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650A36B1" w14:textId="7A385F03" w:rsidR="005A553C" w:rsidRDefault="00D63E7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Dr Samuel Bailey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00F4657" w14:textId="6A211D6B" w:rsidR="005A553C" w:rsidRPr="00B817BD" w:rsidRDefault="002826C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The external person to look through the risk assessment</w:t>
            </w:r>
          </w:p>
        </w:tc>
        <w:tc>
          <w:tcPr>
            <w:tcW w:w="1282" w:type="pct"/>
            <w:shd w:val="clear" w:color="auto" w:fill="auto"/>
          </w:tcPr>
          <w:p w14:paraId="3C5F040A" w14:textId="7B4CE546" w:rsidR="005A553C" w:rsidRPr="00B817BD" w:rsidRDefault="00D63E7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Doctor of Music</w:t>
            </w: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br/>
              <w:t>Piano Teacher</w:t>
            </w:r>
          </w:p>
        </w:tc>
      </w:tr>
      <w:bookmarkEnd w:id="0"/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2023BE19" w:rsidR="00321A91" w:rsidRPr="000D1A3F" w:rsidRDefault="00D62AF0">
      <w:pPr>
        <w:rPr>
          <w:rFonts w:ascii="Arial" w:hAnsi="Arial" w:cs="Arial"/>
          <w:sz w:val="28"/>
          <w:szCs w:val="28"/>
        </w:rPr>
      </w:pPr>
      <w:r w:rsidRPr="000D1A3F">
        <w:rPr>
          <w:rFonts w:ascii="Arial" w:hAnsi="Arial" w:cs="Arial"/>
          <w:sz w:val="28"/>
          <w:szCs w:val="28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3D64B1B2" w:rsidR="00A751C7" w:rsidRP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lastRenderedPageBreak/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27"/>
        <w:gridCol w:w="1207"/>
        <w:gridCol w:w="2704"/>
        <w:gridCol w:w="737"/>
        <w:gridCol w:w="477"/>
        <w:gridCol w:w="620"/>
        <w:gridCol w:w="3403"/>
        <w:gridCol w:w="597"/>
        <w:gridCol w:w="473"/>
        <w:gridCol w:w="629"/>
        <w:gridCol w:w="4013"/>
      </w:tblGrid>
      <w:tr w:rsidR="00A751C7" w14:paraId="3C5F041F" w14:textId="77777777" w:rsidTr="00B22241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00B22241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3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751C7" w14:paraId="3C5F043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37618B" w14:textId="77777777" w:rsidR="00CE1AAA" w:rsidRDefault="00CE1AAA"/>
          <w:p w14:paraId="3C5F042C" w14:textId="58CFB9F4" w:rsidR="006762D2" w:rsidRDefault="00661BEB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DDDCF77" w14:textId="77777777" w:rsidR="00CE1AAA" w:rsidRDefault="00CE1AAA"/>
          <w:p w14:paraId="3C5F042D" w14:textId="341D98AA" w:rsidR="006762D2" w:rsidRDefault="00BB3642" w:rsidP="006762D2">
            <w:r>
              <w:t xml:space="preserve">1. </w:t>
            </w:r>
            <w:r w:rsidR="00A751C7">
              <w:t>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704CFD8D" w14:textId="77777777" w:rsidR="00CE1AAA" w:rsidRDefault="00CE1AAA"/>
          <w:p w14:paraId="0A79F1CE" w14:textId="549ECDE4" w:rsidR="00661BEB" w:rsidRPr="00A751C7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</w:t>
            </w:r>
            <w:r w:rsidR="00A751C7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</w:rPr>
              <w:t>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640754" w14:textId="77777777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2E" w14:textId="2B63C070" w:rsidR="00321A91" w:rsidRDefault="00321A91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2F" w14:textId="7012EAAD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0" w14:textId="4A8F5C62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1" w14:textId="1162910B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57D5791D" w14:textId="61B87992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around the environment, in addition to washrooms</w:t>
            </w:r>
            <w:r w:rsidR="00755074">
              <w:rPr>
                <w:rFonts w:ascii="Calibri" w:hAnsi="Calibri" w:cs="Times New Roman"/>
                <w:sz w:val="20"/>
                <w:szCs w:val="20"/>
              </w:rPr>
              <w:t>.</w:t>
            </w:r>
            <w:r w:rsidR="00755074">
              <w:rPr>
                <w:rFonts w:ascii="Calibri" w:hAnsi="Calibri" w:cs="Times New Roman"/>
                <w:sz w:val="20"/>
                <w:szCs w:val="20"/>
              </w:rPr>
              <w:br/>
            </w:r>
            <w:r w:rsidR="00755074">
              <w:rPr>
                <w:rFonts w:ascii="Calibri" w:hAnsi="Calibri" w:cs="Times New Roman"/>
              </w:rPr>
              <w:t>Also providing hand sanitiser at the entrance and exits for the room in use to ensure hand washing is not forgotten</w:t>
            </w:r>
          </w:p>
          <w:p w14:paraId="33943C0E" w14:textId="564BFE34" w:rsidR="00661BEB" w:rsidRPr="00FE3522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00FE3522">
              <w:rPr>
                <w:rFonts w:ascii="Calibri" w:hAnsi="Calibri" w:cs="Times New Roman"/>
                <w:sz w:val="20"/>
                <w:szCs w:val="20"/>
              </w:rPr>
              <w:t>Frequently</w:t>
            </w:r>
            <w:r w:rsidR="00661BEB" w:rsidRPr="00FE3522">
              <w:rPr>
                <w:rFonts w:ascii="Calibri" w:hAnsi="Calibri" w:cs="Times New Roman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00FE3522">
              <w:rPr>
                <w:rFonts w:ascii="Calibri" w:hAnsi="Calibri" w:cs="Times New Roman"/>
                <w:sz w:val="20"/>
                <w:szCs w:val="20"/>
              </w:rPr>
              <w:t>in-between</w:t>
            </w:r>
            <w:r w:rsidR="00661BEB" w:rsidRPr="00FE3522">
              <w:rPr>
                <w:rFonts w:ascii="Calibri" w:hAnsi="Calibri" w:cs="Times New Roman"/>
                <w:sz w:val="20"/>
                <w:szCs w:val="20"/>
              </w:rPr>
              <w:t> use by different people</w:t>
            </w:r>
            <w:r w:rsidR="00F6658E" w:rsidRPr="00FE3522">
              <w:rPr>
                <w:rFonts w:ascii="Calibri" w:hAnsi="Calibri" w:cs="Times New Roman"/>
                <w:sz w:val="20"/>
                <w:szCs w:val="20"/>
              </w:rPr>
              <w:t xml:space="preserve">. The piano </w:t>
            </w:r>
            <w:r w:rsidR="00FE3522">
              <w:rPr>
                <w:rFonts w:ascii="Calibri" w:hAnsi="Calibri" w:cs="Times New Roman"/>
                <w:sz w:val="20"/>
                <w:szCs w:val="20"/>
              </w:rPr>
              <w:t>is a special case</w:t>
            </w:r>
            <w:r w:rsidR="00F6658E" w:rsidRPr="00FE352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FE3522">
              <w:rPr>
                <w:rFonts w:ascii="Calibri" w:hAnsi="Calibri" w:cs="Times New Roman"/>
                <w:sz w:val="20"/>
                <w:szCs w:val="20"/>
              </w:rPr>
              <w:t xml:space="preserve">addressed in risk assessment action </w:t>
            </w:r>
            <w:r w:rsidR="00FE35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11. </w:t>
            </w:r>
            <w:r w:rsidR="00FE3522" w:rsidRPr="00137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Sharing equipment</w:t>
            </w:r>
          </w:p>
          <w:p w14:paraId="58D0BBDA" w14:textId="35442812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3C5F0432" w14:textId="6B872A89" w:rsidR="002E2C00" w:rsidRPr="006762D2" w:rsidRDefault="002E2C00" w:rsidP="00F6658E">
            <w:pPr>
              <w:ind w:left="360"/>
              <w:textAlignment w:val="baseline"/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3" w14:textId="56DEB130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4" w14:textId="38406A7C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5" w14:textId="1A41EE0B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77777777" w:rsidR="00CE1AAA" w:rsidRDefault="00CE1AAA"/>
          <w:p w14:paraId="3C5F0436" w14:textId="10989BA4" w:rsidR="005D6322" w:rsidRDefault="005D6322" w:rsidP="003557D7">
            <w:pPr>
              <w:ind w:left="-45"/>
              <w:textAlignment w:val="baseline"/>
            </w:pPr>
          </w:p>
        </w:tc>
      </w:tr>
      <w:tr w:rsidR="00A751C7" w14:paraId="6D60F319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B9EE066" w14:textId="77777777" w:rsidR="00486BA2" w:rsidRDefault="00486BA2" w:rsidP="00321A91"/>
          <w:p w14:paraId="1A48DBCA" w14:textId="6E766F1F" w:rsidR="00B22241" w:rsidRPr="005A607F" w:rsidRDefault="00B22241" w:rsidP="00321A9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F128FA" w14:textId="77777777" w:rsidR="005C0FAF" w:rsidRDefault="005C0FAF"/>
          <w:p w14:paraId="7824A30E" w14:textId="5091EF66" w:rsidR="00486BA2" w:rsidRPr="005A607F" w:rsidRDefault="00BB3642">
            <w:r>
              <w:t xml:space="preserve">2. </w:t>
            </w:r>
            <w:r w:rsidR="00661BEB">
              <w:t>Social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77777777" w:rsidR="005C0FAF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131940DB" w14:textId="660B774C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AD9C555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F743B6D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09045A6" w14:textId="34939D15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5A607F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001D62E6" w14:textId="429F63D8" w:rsidR="004A0C47" w:rsidRDefault="004A0C47" w:rsidP="004A0C47">
            <w:pPr>
              <w:rPr>
                <w:rFonts w:ascii="Lucida Sans" w:hAnsi="Lucida Sans"/>
                <w:b/>
              </w:rPr>
            </w:pPr>
          </w:p>
          <w:p w14:paraId="1B0F2D77" w14:textId="6D75DD45" w:rsidR="004A0C47" w:rsidRDefault="004A0C47" w:rsidP="004A0C4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004A0C47">
              <w:rPr>
                <w:rFonts w:ascii="Calibri" w:hAnsi="Calibri" w:cs="Times New Roman"/>
              </w:rPr>
              <w:t>Social Distancing - Reducing the number of persons in any activity area to comply with the 2-metre gap recommended by the Public Health Agency</w:t>
            </w:r>
            <w:r w:rsidR="006A17B4">
              <w:rPr>
                <w:rFonts w:ascii="Calibri" w:hAnsi="Calibri" w:cs="Times New Roman"/>
              </w:rPr>
              <w:br/>
            </w:r>
            <w:hyperlink r:id="rId11" w:history="1">
              <w:r w:rsidR="006A17B4" w:rsidRPr="00565078">
                <w:rPr>
                  <w:rStyle w:val="Hyperlink"/>
                  <w:rFonts w:ascii="Calibri" w:hAnsi="Calibri" w:cs="Times New Roman"/>
                </w:rPr>
                <w:t>https://www.publichealth.hscni.net/news/covid-19-coronavirus</w:t>
              </w:r>
            </w:hyperlink>
            <w:r w:rsidR="006A17B4">
              <w:rPr>
                <w:rFonts w:ascii="Calibri" w:hAnsi="Calibri" w:cs="Times New Roman"/>
              </w:rPr>
              <w:br/>
            </w:r>
            <w:hyperlink r:id="rId12" w:history="1">
              <w:r w:rsidR="006A17B4" w:rsidRPr="00565078">
                <w:rPr>
                  <w:rStyle w:val="Hyperlink"/>
                  <w:rFonts w:ascii="Calibri" w:hAnsi="Calibri" w:cs="Times New Roman"/>
                </w:rPr>
                <w:t>https://www.gov.uk/government/publications/covid-19-guidance-on-social-distancing-and-for-vulnerable-people</w:t>
              </w:r>
            </w:hyperlink>
            <w:r w:rsidR="006A17B4">
              <w:rPr>
                <w:rFonts w:ascii="Calibri" w:hAnsi="Calibri" w:cs="Times New Roman"/>
              </w:rPr>
              <w:br/>
            </w:r>
          </w:p>
          <w:p w14:paraId="5DB6A330" w14:textId="77777777" w:rsidR="006A17B4" w:rsidRPr="004A0C47" w:rsidRDefault="006A17B4" w:rsidP="004A0C4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</w:p>
          <w:p w14:paraId="4AC87AEB" w14:textId="1704F765" w:rsidR="00486BA2" w:rsidRPr="005A607F" w:rsidRDefault="00486BA2" w:rsidP="00A751C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1EF757A5" w14:textId="77777777" w:rsidR="005C0FAF" w:rsidRDefault="005C0FAF" w:rsidP="005C0FAF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0193DBED" w14:textId="4036F8AA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utting up signs to remind members and visitors of social distancing guidance </w:t>
            </w:r>
          </w:p>
          <w:p w14:paraId="2068BA10" w14:textId="310FD957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voiding sharing workstations and equipment </w:t>
            </w:r>
          </w:p>
          <w:p w14:paraId="6CB6BCAC" w14:textId="6A53C54B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sing floor tape or paint to mark areas to help people keep to a 2m distance </w:t>
            </w:r>
          </w:p>
          <w:p w14:paraId="3970F50E" w14:textId="5645DC18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rranging one-way traffic through the location if possible </w:t>
            </w:r>
          </w:p>
          <w:p w14:paraId="3D75DECC" w14:textId="5586E309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witching to members engaging by appointment only / ticketed activities </w:t>
            </w:r>
          </w:p>
          <w:p w14:paraId="63CDE898" w14:textId="55CC3B1F" w:rsidR="00486BA2" w:rsidRPr="005A607F" w:rsidRDefault="00486BA2" w:rsidP="00661BEB">
            <w:pPr>
              <w:pStyle w:val="ListParagraph"/>
            </w:pPr>
          </w:p>
        </w:tc>
      </w:tr>
      <w:tr w:rsidR="00A751C7" w14:paraId="5281552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BFEC375" w:rsidR="00486BA2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0999EEB4" w:rsidR="00486BA2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22B7C4C4" w14:textId="77777777" w:rsidR="005C0FAF" w:rsidRPr="00661BEB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04452D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1DED578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5A9D29F" w14:textId="77777777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5A607F" w:rsidRDefault="00D1119E" w:rsidP="00CE1AAA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4DBD8A" w14:textId="77777777" w:rsidR="00B22241" w:rsidRDefault="00B22241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B8FD2AE" w14:textId="77777777" w:rsidR="00661BEB" w:rsidRPr="00661BEB" w:rsidRDefault="00661BEB" w:rsidP="00661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631546F9" w14:textId="76527BEF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6694AD1D" w14:textId="77777777" w:rsidR="00661BEB" w:rsidRPr="005C0FAF" w:rsidRDefault="00661BEB" w:rsidP="005C0FAF">
            <w:pPr>
              <w:pStyle w:val="ListParagraph"/>
              <w:numPr>
                <w:ilvl w:val="0"/>
                <w:numId w:val="20"/>
              </w:num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Where it’s not possible for people to be 2m apart, you should do everything practical to manage the transmission risk by: </w:t>
            </w:r>
          </w:p>
          <w:p w14:paraId="70C229F1" w14:textId="450D43A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onsidering whether an activity needs to continue for the Club/Soc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 xml:space="preserve"> to operate </w:t>
            </w:r>
          </w:p>
          <w:p w14:paraId="63CFFEC8" w14:textId="5C11665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eeping the activity time involved as short as possible </w:t>
            </w:r>
          </w:p>
          <w:p w14:paraId="3D6E1ECA" w14:textId="0AA6AC21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screens or barriers to separate people from each other </w:t>
            </w:r>
          </w:p>
          <w:p w14:paraId="44A006F2" w14:textId="4BB0D17B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back-to-back or side-to-side sitting whenever possible </w:t>
            </w:r>
          </w:p>
          <w:p w14:paraId="462E3F1D" w14:textId="43C84C29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ducing the number of people each person has contact with by using ‘fixed teams or partnering’</w:t>
            </w:r>
          </w:p>
          <w:p w14:paraId="184963AB" w14:textId="55697E01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0C117490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7843D76" w14:textId="07843937" w:rsidR="00980BA8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736B7A0" w14:textId="71673047" w:rsidR="00980BA8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Movement around Buildings</w:t>
            </w:r>
          </w:p>
        </w:tc>
        <w:tc>
          <w:tcPr>
            <w:tcW w:w="851" w:type="pct"/>
            <w:shd w:val="clear" w:color="auto" w:fill="FFFFFF" w:themeFill="background1"/>
          </w:tcPr>
          <w:p w14:paraId="35228F3F" w14:textId="14F7F3EE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  <w:lang w:val="en-US"/>
              </w:rPr>
              <w:t xml:space="preserve">s </w:t>
            </w:r>
            <w:r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9DE2AC6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B1B9AF7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92F5435" w14:textId="1BB5942F" w:rsidR="00980BA8" w:rsidRPr="005A607F" w:rsidRDefault="00980BA8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57BE6259" w14:textId="1864E110" w:rsidR="00980BA8" w:rsidRPr="005A607F" w:rsidRDefault="00980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A3DAC9E" w14:textId="2B47A21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9EF93E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movement by discouraging non-essential trips within buildings and sites.  </w:t>
            </w:r>
          </w:p>
          <w:p w14:paraId="5B140B2E" w14:textId="21F29A0F" w:rsidR="00980BA8" w:rsidRPr="00F6658E" w:rsidRDefault="00980BA8" w:rsidP="00F6658E">
            <w:pPr>
              <w:ind w:left="360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05B1AB9E" w14:textId="7CF3A4AB" w:rsidR="00980BA8" w:rsidRPr="005A607F" w:rsidRDefault="00980BA8" w:rsidP="00321A91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36A222F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52425E4" w14:textId="4D3DD60F" w:rsidR="005D1D23" w:rsidRPr="005A607F" w:rsidRDefault="005D1D23"/>
          <w:p w14:paraId="6A3A2D8D" w14:textId="7693B0B8" w:rsidR="005D1D23" w:rsidRPr="005A607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34F5A4F" w14:textId="77777777" w:rsidR="005D1D23" w:rsidRPr="005A607F" w:rsidRDefault="005D1D23"/>
          <w:p w14:paraId="6241B0BB" w14:textId="1EB3F92C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Explain the changes you are </w:t>
            </w:r>
            <w:r w:rsid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planning to make your activity S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afely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54F27448" w14:textId="793EF4B4" w:rsidR="005D1D23" w:rsidRPr="005A607F" w:rsidRDefault="005D1D23"/>
        </w:tc>
        <w:tc>
          <w:tcPr>
            <w:tcW w:w="851" w:type="pct"/>
            <w:shd w:val="clear" w:color="auto" w:fill="FFFFFF" w:themeFill="background1"/>
          </w:tcPr>
          <w:p w14:paraId="6B9B6087" w14:textId="77777777" w:rsidR="005D1D23" w:rsidRPr="005A607F" w:rsidRDefault="005D1D23"/>
          <w:p w14:paraId="7051C6B5" w14:textId="01D8836A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C40F35C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2C4CF96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63C3DF" w14:textId="7F3EA2D6" w:rsidR="005D1D23" w:rsidRPr="005A607F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325E3A6C" w14:textId="28FEEF1D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0986CE2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63F4172D" w14:textId="5727FD6E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3B74B07A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62A004D" w14:textId="34325342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6C0DAC8C" w14:textId="77777777" w:rsidR="005D1D23" w:rsidRPr="005A607F" w:rsidRDefault="005D1D23">
            <w:pPr>
              <w:rPr>
                <w:rFonts w:ascii="Lucida Sans" w:hAnsi="Lucida Sans"/>
                <w:b/>
              </w:rPr>
            </w:pPr>
          </w:p>
          <w:p w14:paraId="791375BD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</w:p>
          <w:p w14:paraId="7A98C8D8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 your social media and Club/Society communication channel to make all the members aware about the changes in your activities and encourage the to take all the precautions. </w:t>
            </w:r>
          </w:p>
          <w:p w14:paraId="525E09F8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every activity starts with a reminder of key COVID-19 precautions and how to maintain them </w:t>
            </w:r>
          </w:p>
          <w:p w14:paraId="7CB1408A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3705D8FB" w14:textId="77777777" w:rsidR="00137D9F" w:rsidRPr="00137D9F" w:rsidRDefault="00137D9F" w:rsidP="00137D9F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  <w:p w14:paraId="345A537A" w14:textId="77777777" w:rsidR="005D1D23" w:rsidRPr="005A607F" w:rsidRDefault="005D1D23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7CEAE25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0841506E" w14:textId="09B0CCD8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4CB74F05" w14:textId="5EAF20FB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F5F6276" w14:textId="7F9124F5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5A607F" w:rsidRDefault="005D1D23"/>
          <w:p w14:paraId="79511511" w14:textId="21EB1C75" w:rsidR="005D1D23" w:rsidRPr="005A607F" w:rsidRDefault="005D1D23" w:rsidP="00661BEB">
            <w:pPr>
              <w:pStyle w:val="ListParagraph"/>
            </w:pPr>
          </w:p>
        </w:tc>
      </w:tr>
      <w:tr w:rsidR="00A751C7" w14:paraId="3C5F044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E18BE20" w14:textId="699D363D" w:rsidR="005D6322" w:rsidRDefault="005D632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38" w14:textId="1AEF7676" w:rsidR="00CE1AAA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41E1AEC" w14:textId="77777777" w:rsidR="005C0FAF" w:rsidRDefault="005C0FAF" w:rsidP="00137D9F"/>
          <w:p w14:paraId="490668D8" w14:textId="796ADDAE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6.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Protecting people who are at higher risk You should think about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39" w14:textId="1496D390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664297D5" w14:textId="77777777" w:rsidR="005D6322" w:rsidRDefault="005D6322"/>
          <w:p w14:paraId="460A8A28" w14:textId="51FBAC0C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D62FDF8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9B5D9F9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3A" w14:textId="6B4676C3" w:rsidR="005D6322" w:rsidRDefault="005D6322" w:rsidP="00661BEB"/>
        </w:tc>
        <w:tc>
          <w:tcPr>
            <w:tcW w:w="232" w:type="pct"/>
            <w:shd w:val="clear" w:color="auto" w:fill="FFFFFF" w:themeFill="background1"/>
          </w:tcPr>
          <w:p w14:paraId="0CCE394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6AAADF19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78D123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323114C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FA457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4AB2888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4B32021" w14:textId="77777777" w:rsidR="005D6322" w:rsidRDefault="005D6322">
            <w:pPr>
              <w:rPr>
                <w:rFonts w:ascii="Lucida Sans" w:hAnsi="Lucida Sans"/>
                <w:b/>
              </w:rPr>
            </w:pPr>
          </w:p>
          <w:p w14:paraId="1EEEC8B8" w14:textId="399E0BD5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As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k members to clarify if they have any specific health conditions which may put them in the ‘at risk’ category</w:t>
            </w:r>
          </w:p>
          <w:p w14:paraId="662D0FF4" w14:textId="6D45AE49" w:rsidR="00137D9F" w:rsidRPr="00137D9F" w:rsidRDefault="005C0FA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0211548A" w14:textId="6F877E54" w:rsidR="00137D9F" w:rsidRPr="005C0FAF" w:rsidRDefault="005C0FA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5C0FA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3E" w14:textId="0A794E8E" w:rsidR="005D6322" w:rsidRPr="002E2C00" w:rsidRDefault="005D632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809707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F" w14:textId="23EEC65D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CEB88F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0" w14:textId="25D34D0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29C19A6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1" w14:textId="363DFEB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420761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Default="00CE1AAA"/>
          <w:p w14:paraId="3C5F0442" w14:textId="6AC763F1" w:rsidR="00F744F5" w:rsidRDefault="00F744F5" w:rsidP="00661BEB">
            <w:pPr>
              <w:pStyle w:val="ListParagraph"/>
            </w:pPr>
          </w:p>
        </w:tc>
      </w:tr>
      <w:tr w:rsidR="00A751C7" w14:paraId="3C5F044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9FEE8A0" w14:textId="77777777" w:rsidR="00420761" w:rsidRDefault="00420761"/>
          <w:p w14:paraId="3C5F0444" w14:textId="6FA04AD5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62C7FF" w14:textId="77777777" w:rsidR="00420761" w:rsidRDefault="00420761" w:rsidP="00137D9F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5AFEA641" w14:textId="13C74E1B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7.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7F9F369C" w14:textId="77777777" w:rsidR="0042076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0F02AAA1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58A09A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716240B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0C7136B" w14:textId="77777777" w:rsidR="00CE1AAA" w:rsidRDefault="00CE1AAA"/>
          <w:p w14:paraId="3C5F0446" w14:textId="0DB62D75" w:rsidR="002E2C00" w:rsidRDefault="002E2C00" w:rsidP="00321A91">
            <w:pPr>
              <w:ind w:left="360"/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3A63F37" w14:textId="1220FD3C" w:rsidR="00137D9F" w:rsidRPr="000559E5" w:rsidRDefault="000559E5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member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 xml:space="preserve"> becomes unwell with a new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continuous cough or 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high temperature they will be sent home and advised to follow the stay at home guidance. </w:t>
            </w:r>
          </w:p>
          <w:p w14:paraId="3BD3D43B" w14:textId="5A91335F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4881BE90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4788011" w14:textId="4075E279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="000559E5"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3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4A" w14:textId="2A8E4062" w:rsidR="005D6322" w:rsidRPr="00957A37" w:rsidRDefault="005D6322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6C42211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589DCEC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18FD4476" w14:textId="77777777" w:rsidR="00CE1AAA" w:rsidRDefault="00CE1AAA"/>
          <w:p w14:paraId="6379FDEE" w14:textId="358F2A3E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5A0F8114" w14:textId="51076E09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ffering people the safest available roles in an activity </w:t>
            </w:r>
          </w:p>
          <w:p w14:paraId="1FD7D281" w14:textId="36BA55A6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4E" w14:textId="158FF6B0" w:rsidR="005D6322" w:rsidRDefault="005D6322" w:rsidP="00661BEB">
            <w:pPr>
              <w:pStyle w:val="ListParagraph"/>
            </w:pPr>
          </w:p>
        </w:tc>
      </w:tr>
      <w:tr w:rsidR="00A751C7" w14:paraId="3C5F045B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4CD9B58" w14:textId="79A26827" w:rsidR="00CE1AAA" w:rsidRDefault="00CE1AAA"/>
          <w:p w14:paraId="3C5F0450" w14:textId="7363AF88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E0F2775" w14:textId="77777777" w:rsidR="00CE1AAA" w:rsidRDefault="00CE1AAA"/>
          <w:p w14:paraId="63993B6B" w14:textId="600C18E1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8.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1" w14:textId="0D7341C8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350DE215" w14:textId="77777777" w:rsidR="00CE1AAA" w:rsidRDefault="00CE1AAA"/>
          <w:p w14:paraId="2405623E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D96997F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58B8717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2" w14:textId="54307AE9" w:rsidR="002E2C00" w:rsidRDefault="002E2C00" w:rsidP="00661BEB"/>
        </w:tc>
        <w:tc>
          <w:tcPr>
            <w:tcW w:w="232" w:type="pct"/>
            <w:shd w:val="clear" w:color="auto" w:fill="FFFFFF" w:themeFill="background1"/>
          </w:tcPr>
          <w:p w14:paraId="25B1752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76438E50" w:rsidR="00F744F5" w:rsidRPr="00957A37" w:rsidRDefault="007E6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18B792D1" w:rsidR="00F744F5" w:rsidRPr="00957A37" w:rsidRDefault="007E6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11F9792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707B2933" w:rsidR="00F744F5" w:rsidRPr="00957A37" w:rsidRDefault="007E6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26D395F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iCs/>
                <w:sz w:val="20"/>
                <w:szCs w:val="20"/>
              </w:rPr>
              <w:t>Public Health guidance on the use of PPE (personal protective equipment) to protect against COVID-19 relates to health care settings. In all other settings individuals are asked to observe social distancing measures and practice good hand hygiene behaviours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533EB64C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Where PPE is a requirement for risks associated with the work undertaken the following measures will be followed- </w:t>
            </w:r>
          </w:p>
          <w:p w14:paraId="7D1F6D42" w14:textId="25748CAF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Tight-fitting respirators (such as disposable FFP3 masks and reusable half masks) rely on having a good seal with the wearer’s face. A face fit test will be carried out to ensure the respiratory protective equipment (RPE) can protect the wearer. </w:t>
            </w:r>
          </w:p>
          <w:p w14:paraId="39AF7B62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Wearers must be clean shaven. </w:t>
            </w:r>
          </w:p>
          <w:p w14:paraId="3C5F0456" w14:textId="4EF77469" w:rsidR="002E2C00" w:rsidRPr="002E2C00" w:rsidRDefault="002E2C00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3FE880E3" w:rsidR="00F744F5" w:rsidRPr="00957A37" w:rsidRDefault="007E6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55A56BF1" w:rsidR="00F744F5" w:rsidRPr="00957A37" w:rsidRDefault="007E6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738C7637" w:rsidR="00F744F5" w:rsidRPr="00957A37" w:rsidRDefault="007E6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4811740B" w14:textId="77777777" w:rsidR="00CE1AAA" w:rsidRDefault="00CE1AAA"/>
          <w:p w14:paraId="4594229B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4E6C4E" w14:textId="2997B548" w:rsidR="00137D9F" w:rsidRPr="000559E5" w:rsidRDefault="000559E5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25FEDBBD" w14:textId="77777777" w:rsidR="000559E5" w:rsidRPr="000559E5" w:rsidRDefault="000559E5" w:rsidP="000559E5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1252CA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E07643B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4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5F045A" w14:textId="77777777" w:rsidR="002E2C00" w:rsidRDefault="002E2C00"/>
        </w:tc>
      </w:tr>
      <w:tr w:rsidR="00A751C7" w14:paraId="3C5F046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C94AC1" w14:textId="7FD53740" w:rsidR="00CE1AAA" w:rsidRDefault="00CE1AAA"/>
          <w:p w14:paraId="5251F2CF" w14:textId="77777777" w:rsidR="002E2C00" w:rsidRDefault="002E2C00"/>
          <w:p w14:paraId="3C5F045C" w14:textId="2CDCD986" w:rsidR="00B22241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52F8580" w14:textId="77777777" w:rsidR="00CE1AAA" w:rsidRDefault="00CE1AAA"/>
          <w:p w14:paraId="11ADD25C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46BD0F0" w14:textId="4B235CFC" w:rsidR="00137D9F" w:rsidRPr="000559E5" w:rsidRDefault="00BB3642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9. </w:t>
            </w:r>
            <w:r w:rsidR="00137D9F"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5D" w14:textId="338A24CD" w:rsidR="002E2C00" w:rsidRDefault="002E2C00"/>
        </w:tc>
        <w:tc>
          <w:tcPr>
            <w:tcW w:w="851" w:type="pct"/>
            <w:shd w:val="clear" w:color="auto" w:fill="FFFFFF" w:themeFill="background1"/>
          </w:tcPr>
          <w:p w14:paraId="0B2135E7" w14:textId="77777777" w:rsidR="00CE1AAA" w:rsidRDefault="00CE1AAA"/>
          <w:p w14:paraId="00B747F0" w14:textId="77777777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24F791D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E6067C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E" w14:textId="62E826D1" w:rsidR="002E2C00" w:rsidRDefault="002E2C00" w:rsidP="000559E5">
            <w:pPr>
              <w:ind w:left="3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7A90D52B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677F1FE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2B83B901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AA5C645" w14:textId="77777777" w:rsidR="002E2C00" w:rsidRPr="000559E5" w:rsidRDefault="00137D9F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559E5">
              <w:rPr>
                <w:rFonts w:ascii="Calibri" w:hAnsi="Calibri" w:cs="Arial"/>
                <w:sz w:val="20"/>
                <w:szCs w:val="20"/>
              </w:rPr>
              <w:t xml:space="preserve"> will offer whatever support through training such as WIDE</w:t>
            </w:r>
          </w:p>
          <w:p w14:paraId="3C5F0462" w14:textId="0467AB13" w:rsidR="000559E5" w:rsidRPr="000559E5" w:rsidRDefault="000559E5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1781EF31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4B64D95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015769E5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Default="00CE1AAA"/>
          <w:p w14:paraId="03C9D219" w14:textId="77777777" w:rsidR="00137D9F" w:rsidRPr="000559E5" w:rsidRDefault="00137D9F" w:rsidP="000559E5">
            <w:pPr>
              <w:pStyle w:val="ListParagraph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3C5F0466" w14:textId="003039DA" w:rsidR="002E2C00" w:rsidRDefault="002E2C00" w:rsidP="00661BEB">
            <w:pPr>
              <w:pStyle w:val="ListParagraph"/>
            </w:pPr>
          </w:p>
        </w:tc>
      </w:tr>
      <w:tr w:rsidR="00A751C7" w14:paraId="3C5F047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5F0474" w14:textId="0493C7AD" w:rsidR="00CE1AAA" w:rsidRDefault="00B22241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F690A3B" w14:textId="2C119206" w:rsidR="00137D9F" w:rsidRPr="00B22241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303D3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37D9F" w:rsidRPr="00B2224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Travelling for physical activity</w:t>
            </w:r>
            <w:r w:rsidR="00137D9F"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5F0475" w14:textId="77777777" w:rsidR="00CE1AAA" w:rsidRDefault="00CE1AAA"/>
        </w:tc>
        <w:tc>
          <w:tcPr>
            <w:tcW w:w="851" w:type="pct"/>
            <w:shd w:val="clear" w:color="auto" w:fill="FFFFFF" w:themeFill="background1"/>
          </w:tcPr>
          <w:p w14:paraId="2BD9F68F" w14:textId="77777777" w:rsidR="00B22241" w:rsidRPr="00661BEB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3D49467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D4E260E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76" w14:textId="77777777" w:rsidR="00CE1AAA" w:rsidRDefault="00CE1AAA"/>
        </w:tc>
        <w:tc>
          <w:tcPr>
            <w:tcW w:w="232" w:type="pct"/>
            <w:shd w:val="clear" w:color="auto" w:fill="FFFFFF" w:themeFill="background1"/>
          </w:tcPr>
          <w:p w14:paraId="3C5F0477" w14:textId="483D46AA" w:rsidR="00CE1AAA" w:rsidRPr="00957A37" w:rsidRDefault="007E6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8" w14:textId="71CCC890" w:rsidR="00CE1AAA" w:rsidRPr="00957A37" w:rsidRDefault="007E6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79" w14:textId="5841FAE8" w:rsidR="00CE1AAA" w:rsidRPr="00957A37" w:rsidRDefault="007E6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78B51084" w14:textId="77777777" w:rsidR="00B22241" w:rsidRPr="00B22241" w:rsidRDefault="00B22241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Y</w:t>
            </w:r>
            <w:r w:rsidR="00137D9F" w:rsidRPr="00B22241">
              <w:rPr>
                <w:rFonts w:ascii="Calibri" w:hAnsi="Calibri" w:cs="Arial"/>
                <w:sz w:val="20"/>
                <w:szCs w:val="20"/>
              </w:rPr>
              <w:t xml:space="preserve">ou can travel to outdoor open space irrespective of distance. </w:t>
            </w:r>
          </w:p>
          <w:p w14:paraId="62FF22BB" w14:textId="5547A1BF" w:rsidR="00137D9F" w:rsidRPr="00B22241" w:rsidRDefault="00137D9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You shouldn’t travel with someone from outside your household unless you can practise social distancing - for example by cycling. It is not possible to practice effective social distancing in small vehicles. You should consider all other forms of transport before using public transport. </w:t>
            </w:r>
          </w:p>
          <w:p w14:paraId="70E44B27" w14:textId="77777777" w:rsidR="00137D9F" w:rsidRPr="00B22241" w:rsidRDefault="00137D9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Leaving your home - the place you live - to stay at another home is not allowed. </w:t>
            </w:r>
          </w:p>
          <w:p w14:paraId="6AFFBAD4" w14:textId="6FAF36FF" w:rsidR="00B22241" w:rsidRPr="00B22241" w:rsidRDefault="00B22241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Continue to review guidelines prior to traveling </w:t>
            </w:r>
          </w:p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5F047B" w14:textId="705A015D" w:rsidR="00CE1AAA" w:rsidRPr="00957A37" w:rsidRDefault="007E6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7C" w14:textId="47F34040" w:rsidR="00CE1AAA" w:rsidRPr="00957A37" w:rsidRDefault="007E6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7D" w14:textId="1AB656FB" w:rsidR="00CE1AAA" w:rsidRPr="00957A37" w:rsidRDefault="007E6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3C5F047E" w14:textId="77777777" w:rsidR="00CE1AAA" w:rsidRDefault="00CE1AAA" w:rsidP="00B22241"/>
        </w:tc>
      </w:tr>
      <w:tr w:rsidR="00A751C7" w14:paraId="5A787C11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FCFDD0" w14:textId="345FE568" w:rsidR="00137D9F" w:rsidRDefault="00B22241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C30E146" w14:textId="7F7FD97D" w:rsidR="00137D9F" w:rsidRPr="00137D9F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303D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37D9F" w:rsidRPr="00137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Sharing equipment</w:t>
            </w:r>
          </w:p>
          <w:p w14:paraId="31A1CCC3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4F599A6" w14:textId="77777777" w:rsidR="00B22241" w:rsidRPr="00661BEB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1464BA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268EAF1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7391129" w14:textId="6CFB04D7" w:rsidR="00137D9F" w:rsidRPr="00137D9F" w:rsidRDefault="00137D9F" w:rsidP="00137D9F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3540DD6" w14:textId="7409EDA6" w:rsidR="00137D9F" w:rsidRPr="00957A37" w:rsidRDefault="00C27BB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5AA3B092" w14:textId="5A1EF046" w:rsidR="00137D9F" w:rsidRPr="00957A37" w:rsidRDefault="00291FF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54B9A51C" w14:textId="78FC404C" w:rsidR="00137D9F" w:rsidRPr="00957A37" w:rsidRDefault="00C27BB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2E29778C" w14:textId="2EB494B1" w:rsidR="00137D9F" w:rsidRPr="00683145" w:rsidRDefault="00291FF3" w:rsidP="00683145">
            <w:pPr>
              <w:pStyle w:val="ListParagraph"/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The piano is a shared equipment</w:t>
            </w:r>
            <w:r w:rsidR="007E68C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EC4297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63E7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Asking members to bring their own keyboards is impractical, as well as introduces risk in transportation and movement around buildings.</w:t>
            </w:r>
            <w:r w:rsidR="009C3AA1" w:rsidRPr="0068314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br/>
              <w:t>P</w:t>
            </w:r>
            <w:r w:rsidR="00116B44" w:rsidRPr="0068314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layers will use the provided hand sanitiser each time before use</w:t>
            </w:r>
            <w:r w:rsidR="009C3AA1" w:rsidRPr="0068314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of the piano, as well as maintaining social distancing at all times</w:t>
            </w:r>
            <w:r w:rsidR="00116B44" w:rsidRPr="0068314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0FFF55E" w14:textId="1703DD39" w:rsidR="00116B44" w:rsidRPr="00116B44" w:rsidRDefault="00116B44" w:rsidP="00116B44">
            <w:pPr>
              <w:pStyle w:val="ListParagraph"/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Wipe down the piano with disinfectant at the start of every session</w:t>
            </w:r>
            <w:r w:rsidR="0068314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, and at the end of every session</w:t>
            </w:r>
          </w:p>
        </w:tc>
        <w:tc>
          <w:tcPr>
            <w:tcW w:w="188" w:type="pct"/>
            <w:shd w:val="clear" w:color="auto" w:fill="FFFFFF" w:themeFill="background1"/>
          </w:tcPr>
          <w:p w14:paraId="2674FAF4" w14:textId="6EA00806" w:rsidR="00137D9F" w:rsidRPr="00957A37" w:rsidRDefault="007E6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0CC3A61" w14:textId="0C60CBB0" w:rsidR="00137D9F" w:rsidRPr="00957A37" w:rsidRDefault="007E6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65E88FF9" w14:textId="696EEDA0" w:rsidR="00137D9F" w:rsidRPr="00957A37" w:rsidRDefault="007E68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25E843A9" w14:textId="77777777" w:rsidR="00137D9F" w:rsidRPr="00137D9F" w:rsidRDefault="00137D9F" w:rsidP="00275A90">
            <w:pPr>
              <w:pStyle w:val="ListParagraph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751C7" w14:paraId="36E05E56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FBD8DB8" w14:textId="29D27081" w:rsidR="00137D9F" w:rsidRDefault="007E68C2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5F2AE00" w14:textId="7A22AEF8" w:rsidR="00137D9F" w:rsidRPr="00137D9F" w:rsidRDefault="00C27BBA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12. Organised </w:t>
            </w:r>
            <w:r w:rsidR="00A63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one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357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63B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one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teaching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0673F241" w14:textId="77777777" w:rsidR="00C27BBA" w:rsidRPr="00661BEB" w:rsidRDefault="00C27BBA" w:rsidP="00C27BB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9216162" w14:textId="77777777" w:rsidR="00C27BBA" w:rsidRDefault="00C27BBA" w:rsidP="00C27BB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0A1C82B" w14:textId="77777777" w:rsidR="00C27BBA" w:rsidRDefault="00C27BBA" w:rsidP="00C27BB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A0A0DE4" w14:textId="77777777" w:rsidR="00137D9F" w:rsidRPr="00137D9F" w:rsidRDefault="00137D9F" w:rsidP="00B22241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EC3C024" w14:textId="59096C01" w:rsidR="00137D9F" w:rsidRPr="00957A37" w:rsidRDefault="00C27BB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6AEF687" w14:textId="6FFD4C15" w:rsidR="00137D9F" w:rsidRPr="00957A37" w:rsidRDefault="00C27BB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1345D88" w14:textId="51845F4F" w:rsidR="00137D9F" w:rsidRPr="00957A37" w:rsidRDefault="00C27BB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A12EFFB" w14:textId="77777777" w:rsidR="00896BDC" w:rsidRPr="00896BDC" w:rsidRDefault="00896BDC" w:rsidP="00896BDC">
            <w:pPr>
              <w:textAlignment w:val="baseline"/>
              <w:rPr>
                <w:rFonts w:ascii="Calibri" w:hAnsi="Calibri" w:cs="Arial"/>
              </w:rPr>
            </w:pPr>
          </w:p>
          <w:p w14:paraId="094EDB24" w14:textId="00DC2B47" w:rsidR="003E5A50" w:rsidRPr="007E145A" w:rsidRDefault="003E5A50" w:rsidP="003E5A50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 xml:space="preserve">Ensure participants </w:t>
            </w:r>
            <w:r w:rsidR="00635702">
              <w:rPr>
                <w:rFonts w:ascii="Calibri" w:hAnsi="Calibri" w:cs="Arial"/>
                <w:sz w:val="20"/>
                <w:szCs w:val="20"/>
              </w:rPr>
              <w:t>will follow this risk assessment when carrying out their activity</w:t>
            </w:r>
          </w:p>
          <w:p w14:paraId="3DF41BD1" w14:textId="208EC305" w:rsidR="007E145A" w:rsidRPr="007E145A" w:rsidRDefault="007E145A" w:rsidP="007E145A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Teachers should follow the ‘Teaching music during the Coronavirus Outbreak’</w:t>
            </w:r>
            <w:r w:rsidRPr="005C0FAF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guidance, </w:t>
            </w:r>
            <w:r w:rsidRPr="005C0FAF">
              <w:rPr>
                <w:rFonts w:ascii="Calibri" w:hAnsi="Calibri" w:cs="Arial"/>
              </w:rPr>
              <w:t xml:space="preserve">recommended by the </w:t>
            </w:r>
            <w:r>
              <w:rPr>
                <w:rFonts w:ascii="Calibri" w:hAnsi="Calibri" w:cs="Arial"/>
              </w:rPr>
              <w:t>Musicians’ Union</w:t>
            </w:r>
          </w:p>
          <w:p w14:paraId="637DC073" w14:textId="579542CD" w:rsidR="007E145A" w:rsidRDefault="009C3AA1" w:rsidP="007E145A">
            <w:pPr>
              <w:pStyle w:val="ListParagraph"/>
              <w:ind w:left="765"/>
              <w:textAlignment w:val="baseline"/>
              <w:rPr>
                <w:rFonts w:ascii="Calibri" w:hAnsi="Calibri" w:cs="Arial"/>
              </w:rPr>
            </w:pPr>
            <w:hyperlink r:id="rId15" w:anchor="England" w:history="1">
              <w:r w:rsidR="007E145A" w:rsidRPr="003569BB">
                <w:rPr>
                  <w:rStyle w:val="Hyperlink"/>
                  <w:rFonts w:ascii="Calibri" w:hAnsi="Calibri" w:cs="Arial"/>
                </w:rPr>
                <w:t>https://musiciansunion.org.uk/Home/Advice/covid-19/music-teaching#England</w:t>
              </w:r>
            </w:hyperlink>
          </w:p>
          <w:p w14:paraId="08F990D9" w14:textId="77777777" w:rsidR="007E145A" w:rsidRPr="00896BDC" w:rsidRDefault="007E145A" w:rsidP="007E145A">
            <w:pPr>
              <w:pStyle w:val="ListParagraph"/>
              <w:ind w:left="765"/>
              <w:textAlignment w:val="baseline"/>
              <w:rPr>
                <w:rFonts w:ascii="Calibri" w:hAnsi="Calibri" w:cs="Arial"/>
              </w:rPr>
            </w:pPr>
          </w:p>
          <w:p w14:paraId="0A572458" w14:textId="670015BD" w:rsidR="00EC4297" w:rsidRPr="005C0FAF" w:rsidRDefault="00EC4297" w:rsidP="003E5A50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70F4DEA1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D0DB77A" w14:textId="1BBF11DD" w:rsidR="00137D9F" w:rsidRPr="00957A37" w:rsidRDefault="00F842C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244C03B" w14:textId="0C1D0A14" w:rsidR="00137D9F" w:rsidRPr="00957A37" w:rsidRDefault="00F842C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728F431D" w14:textId="2EB40079" w:rsidR="00137D9F" w:rsidRPr="00957A37" w:rsidRDefault="00F842C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7DFDEC46" w14:textId="77777777" w:rsidR="002B6B08" w:rsidRPr="003E5A50" w:rsidRDefault="002B6B08" w:rsidP="002B6B08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committee will have a record of the time, location and the names of the participants of every teaching session</w:t>
            </w:r>
          </w:p>
          <w:p w14:paraId="7D0EABC3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C5F0480" w14:textId="331A2FA5" w:rsidR="00CE1AAA" w:rsidRDefault="00137D9F" w:rsidP="00137D9F">
      <w:pPr>
        <w:tabs>
          <w:tab w:val="left" w:pos="7240"/>
        </w:tabs>
      </w:pPr>
      <w:r>
        <w:tab/>
      </w:r>
    </w:p>
    <w:p w14:paraId="0EA2A2E3" w14:textId="77777777" w:rsidR="00137D9F" w:rsidRDefault="00137D9F" w:rsidP="00137D9F">
      <w:pPr>
        <w:tabs>
          <w:tab w:val="left" w:pos="7240"/>
        </w:tabs>
      </w:pPr>
    </w:p>
    <w:p w14:paraId="104F9F0E" w14:textId="77777777" w:rsidR="00137D9F" w:rsidRDefault="00137D9F" w:rsidP="00137D9F">
      <w:pPr>
        <w:tabs>
          <w:tab w:val="left" w:pos="7240"/>
        </w:tabs>
      </w:pPr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89"/>
        <w:gridCol w:w="1866"/>
        <w:gridCol w:w="196"/>
        <w:gridCol w:w="777"/>
        <w:gridCol w:w="1057"/>
        <w:gridCol w:w="4362"/>
        <w:gridCol w:w="179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B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25D9122D" w14:textId="77777777" w:rsidTr="008C216A">
        <w:trPr>
          <w:trHeight w:val="574"/>
        </w:trPr>
        <w:tc>
          <w:tcPr>
            <w:tcW w:w="184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70" w:type="pct"/>
          </w:tcPr>
          <w:p w14:paraId="0F4D56A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AD54FD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6E7D73C" w14:textId="77777777" w:rsidTr="008C216A">
        <w:trPr>
          <w:trHeight w:val="574"/>
        </w:trPr>
        <w:tc>
          <w:tcPr>
            <w:tcW w:w="184" w:type="pct"/>
          </w:tcPr>
          <w:p w14:paraId="0DF004F7" w14:textId="1A3DC6EB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570" w:type="pct"/>
          </w:tcPr>
          <w:p w14:paraId="4BFB387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7FB22B0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7129D12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C48EFA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51F901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05E851AE" w14:textId="77777777" w:rsidTr="008C216A">
        <w:trPr>
          <w:trHeight w:val="574"/>
        </w:trPr>
        <w:tc>
          <w:tcPr>
            <w:tcW w:w="184" w:type="pct"/>
          </w:tcPr>
          <w:p w14:paraId="6B63B2FC" w14:textId="4F04EC07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  <w:tc>
          <w:tcPr>
            <w:tcW w:w="1570" w:type="pct"/>
          </w:tcPr>
          <w:p w14:paraId="6AD6686D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E71199B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3F01A7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7D3401D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F36D72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E884527" w14:textId="77777777" w:rsidTr="008C216A">
        <w:trPr>
          <w:trHeight w:val="574"/>
        </w:trPr>
        <w:tc>
          <w:tcPr>
            <w:tcW w:w="184" w:type="pct"/>
          </w:tcPr>
          <w:p w14:paraId="6182C524" w14:textId="0ADFAD66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1570" w:type="pct"/>
          </w:tcPr>
          <w:p w14:paraId="70D1DB7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DDCE82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EC1FE8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34F226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DE829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14128220" w14:textId="77777777" w:rsidTr="008C216A">
        <w:trPr>
          <w:trHeight w:val="574"/>
        </w:trPr>
        <w:tc>
          <w:tcPr>
            <w:tcW w:w="184" w:type="pct"/>
          </w:tcPr>
          <w:p w14:paraId="3E67E916" w14:textId="2516B608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</w:p>
        </w:tc>
        <w:tc>
          <w:tcPr>
            <w:tcW w:w="1570" w:type="pct"/>
          </w:tcPr>
          <w:p w14:paraId="3365D21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439F28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E192E8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719FD6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B1C34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07D73D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8C162EC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9C3AA1" w:rsidRPr="00185766" w:rsidRDefault="009C3AA1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9C3AA1" w:rsidRPr="00185766" w:rsidRDefault="009C3AA1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9C3AA1" w:rsidRPr="00185766" w:rsidRDefault="009C3AA1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9C3AA1" w:rsidRPr="00185766" w:rsidRDefault="009C3AA1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9C3AA1" w:rsidRPr="00185766" w:rsidRDefault="009C3AA1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9C3AA1" w:rsidRPr="00185766" w:rsidRDefault="009C3AA1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9C3AA1" w:rsidRPr="00185766" w:rsidRDefault="009C3AA1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9C3AA1" w:rsidRPr="00185766" w:rsidRDefault="009C3AA1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9C3AA1" w:rsidRPr="00185766" w:rsidRDefault="009C3AA1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9C3AA1" w:rsidRPr="00185766" w:rsidRDefault="009C3AA1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9C3AA1" w:rsidRPr="00185766" w:rsidRDefault="009C3AA1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9C3AA1" w:rsidRPr="00185766" w:rsidRDefault="009C3AA1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9C3AA1" w:rsidRPr="00185766" w:rsidRDefault="009C3AA1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9C3AA1" w:rsidRPr="00185766" w:rsidRDefault="009C3AA1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9C3AA1" w:rsidRPr="00185766" w:rsidRDefault="009C3AA1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9C3AA1" w:rsidRPr="00185766" w:rsidRDefault="009C3AA1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9C3AA1" w:rsidRPr="00185766" w:rsidRDefault="009C3AA1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9C3AA1" w:rsidRPr="00185766" w:rsidRDefault="009C3AA1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BC3AD" w14:textId="77777777" w:rsidR="00730D39" w:rsidRDefault="00730D39" w:rsidP="00AC47B4">
      <w:pPr>
        <w:spacing w:after="0" w:line="240" w:lineRule="auto"/>
      </w:pPr>
      <w:r>
        <w:separator/>
      </w:r>
    </w:p>
  </w:endnote>
  <w:endnote w:type="continuationSeparator" w:id="0">
    <w:p w14:paraId="6E072B08" w14:textId="77777777" w:rsidR="00730D39" w:rsidRDefault="00730D3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9C3AA1" w:rsidRDefault="009C3A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9C3AA1" w:rsidRDefault="009C3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BDE0C" w14:textId="77777777" w:rsidR="00730D39" w:rsidRDefault="00730D39" w:rsidP="00AC47B4">
      <w:pPr>
        <w:spacing w:after="0" w:line="240" w:lineRule="auto"/>
      </w:pPr>
      <w:r>
        <w:separator/>
      </w:r>
    </w:p>
  </w:footnote>
  <w:footnote w:type="continuationSeparator" w:id="0">
    <w:p w14:paraId="2FF35BD4" w14:textId="77777777" w:rsidR="00730D39" w:rsidRDefault="00730D3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9C3AA1" w:rsidRDefault="009C3AA1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9C3AA1" w:rsidRPr="00E64593" w:rsidRDefault="009C3AA1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19"/>
  </w:num>
  <w:num w:numId="9">
    <w:abstractNumId w:val="22"/>
  </w:num>
  <w:num w:numId="10">
    <w:abstractNumId w:val="18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26"/>
  </w:num>
  <w:num w:numId="16">
    <w:abstractNumId w:val="13"/>
  </w:num>
  <w:num w:numId="17">
    <w:abstractNumId w:val="23"/>
  </w:num>
  <w:num w:numId="18">
    <w:abstractNumId w:val="20"/>
  </w:num>
  <w:num w:numId="19">
    <w:abstractNumId w:val="6"/>
  </w:num>
  <w:num w:numId="20">
    <w:abstractNumId w:val="17"/>
  </w:num>
  <w:num w:numId="21">
    <w:abstractNumId w:val="3"/>
  </w:num>
  <w:num w:numId="22">
    <w:abstractNumId w:val="25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6"/>
  </w:num>
  <w:num w:numId="28">
    <w:abstractNumId w:val="24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0572"/>
    <w:rsid w:val="000C4E23"/>
    <w:rsid w:val="000C4FAC"/>
    <w:rsid w:val="000C584B"/>
    <w:rsid w:val="000C5FCD"/>
    <w:rsid w:val="000C6C98"/>
    <w:rsid w:val="000C734A"/>
    <w:rsid w:val="000D1A3F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B44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5A90"/>
    <w:rsid w:val="002770D4"/>
    <w:rsid w:val="002826C1"/>
    <w:rsid w:val="002860FE"/>
    <w:rsid w:val="002871EB"/>
    <w:rsid w:val="00291FF3"/>
    <w:rsid w:val="002A2D8C"/>
    <w:rsid w:val="002A32DB"/>
    <w:rsid w:val="002A35C1"/>
    <w:rsid w:val="002A631F"/>
    <w:rsid w:val="002A7C41"/>
    <w:rsid w:val="002B246E"/>
    <w:rsid w:val="002B2901"/>
    <w:rsid w:val="002B6B08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3D32"/>
    <w:rsid w:val="003053D5"/>
    <w:rsid w:val="00305F83"/>
    <w:rsid w:val="00312ADB"/>
    <w:rsid w:val="003210A0"/>
    <w:rsid w:val="00321A91"/>
    <w:rsid w:val="00321C83"/>
    <w:rsid w:val="0032678E"/>
    <w:rsid w:val="0033042F"/>
    <w:rsid w:val="003318C8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139"/>
    <w:rsid w:val="003C6B63"/>
    <w:rsid w:val="003C7C7E"/>
    <w:rsid w:val="003D673B"/>
    <w:rsid w:val="003E3E05"/>
    <w:rsid w:val="003E4E89"/>
    <w:rsid w:val="003E5A50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0C47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6BD5"/>
    <w:rsid w:val="005901AF"/>
    <w:rsid w:val="00590645"/>
    <w:rsid w:val="0059266B"/>
    <w:rsid w:val="005932CA"/>
    <w:rsid w:val="0059359A"/>
    <w:rsid w:val="00593BAE"/>
    <w:rsid w:val="00596D1E"/>
    <w:rsid w:val="005A553C"/>
    <w:rsid w:val="005A607F"/>
    <w:rsid w:val="005A64A3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5702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3145"/>
    <w:rsid w:val="00685B62"/>
    <w:rsid w:val="00686895"/>
    <w:rsid w:val="00691E1A"/>
    <w:rsid w:val="00692FDD"/>
    <w:rsid w:val="006A17B4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0D39"/>
    <w:rsid w:val="00731F50"/>
    <w:rsid w:val="00732136"/>
    <w:rsid w:val="0073372A"/>
    <w:rsid w:val="007361BE"/>
    <w:rsid w:val="00736CAF"/>
    <w:rsid w:val="007434AF"/>
    <w:rsid w:val="00753FFD"/>
    <w:rsid w:val="00754130"/>
    <w:rsid w:val="00755074"/>
    <w:rsid w:val="00757F2A"/>
    <w:rsid w:val="00760630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145A"/>
    <w:rsid w:val="007E2445"/>
    <w:rsid w:val="007E68C2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96BDC"/>
    <w:rsid w:val="00896BE4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A7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B7ACD"/>
    <w:rsid w:val="009C3528"/>
    <w:rsid w:val="009C3AA1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0763E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3BE7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7BBA"/>
    <w:rsid w:val="00C33747"/>
    <w:rsid w:val="00C34232"/>
    <w:rsid w:val="00C3431B"/>
    <w:rsid w:val="00C36B40"/>
    <w:rsid w:val="00C40037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6FC"/>
    <w:rsid w:val="00D53DC4"/>
    <w:rsid w:val="00D53E0A"/>
    <w:rsid w:val="00D62AF0"/>
    <w:rsid w:val="00D63E7F"/>
    <w:rsid w:val="00D667A6"/>
    <w:rsid w:val="00D66E92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2629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4297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C7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658E"/>
    <w:rsid w:val="00F679B6"/>
    <w:rsid w:val="00F67D92"/>
    <w:rsid w:val="00F705B1"/>
    <w:rsid w:val="00F7163F"/>
    <w:rsid w:val="00F7258A"/>
    <w:rsid w:val="00F744F5"/>
    <w:rsid w:val="00F80857"/>
    <w:rsid w:val="00F80957"/>
    <w:rsid w:val="00F80CB5"/>
    <w:rsid w:val="00F82431"/>
    <w:rsid w:val="00F842C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3522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54BADC5-162B-435A-8213-51A9F98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4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health.hscni.net/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guidance-on-social-distancing-and-for-vulnerable-people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news/covid-19-coronaviru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usiciansunion.org.uk/Home/Advice/covid-19/music-teachin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news/face-mask-ppe-rpe-coronavirus.htm" TargetMode="Externa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19</Pages>
  <Words>2192</Words>
  <Characters>12498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Adam Hu</cp:lastModifiedBy>
  <cp:revision>27</cp:revision>
  <cp:lastPrinted>2016-04-18T12:10:00Z</cp:lastPrinted>
  <dcterms:created xsi:type="dcterms:W3CDTF">2020-07-16T15:13:00Z</dcterms:created>
  <dcterms:modified xsi:type="dcterms:W3CDTF">2020-09-23T14:14:00Z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