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86087C4" w:rsidR="00A156C3" w:rsidRPr="00A156C3" w:rsidRDefault="00313131"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Melodics’</w:t>
            </w:r>
            <w:proofErr w:type="spellEnd"/>
            <w:r>
              <w:rPr>
                <w:rFonts w:ascii="Verdana" w:eastAsia="Times New Roman" w:hAnsi="Verdana" w:cs="Times New Roman"/>
                <w:b/>
                <w:lang w:eastAsia="en-GB"/>
              </w:rPr>
              <w:t xml:space="preserve"> Online Activities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CF93C77" w:rsidR="00A156C3" w:rsidRPr="00A156C3" w:rsidRDefault="0031313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15.9.20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44E2FD89" w:rsidR="00A156C3" w:rsidRPr="00A156C3" w:rsidRDefault="00313131"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Melodics</w:t>
            </w:r>
            <w:proofErr w:type="spellEnd"/>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w:t>
            </w:r>
            <w:proofErr w:type="gramStart"/>
            <w:r>
              <w:rPr>
                <w:rFonts w:ascii="Verdana" w:eastAsia="Times New Roman" w:hAnsi="Verdana" w:cs="Times New Roman"/>
                <w:b/>
                <w:i/>
                <w:lang w:eastAsia="en-GB"/>
              </w:rPr>
              <w:t>Name,  Role</w:t>
            </w:r>
            <w:proofErr w:type="gramEnd"/>
            <w:r>
              <w:rPr>
                <w:rFonts w:ascii="Verdana" w:eastAsia="Times New Roman" w:hAnsi="Verdana" w:cs="Times New Roman"/>
                <w:b/>
                <w:i/>
                <w:lang w:eastAsia="en-GB"/>
              </w:rPr>
              <w:t xml:space="preserv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55A1C717" w:rsidR="00A156C3" w:rsidRPr="00A156C3" w:rsidRDefault="0031313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Gemma Carter, President</w:t>
            </w:r>
          </w:p>
        </w:tc>
      </w:tr>
      <w:tr w:rsidR="00EB5320" w:rsidRPr="00CE5B1E" w14:paraId="3C5F040B" w14:textId="77777777" w:rsidTr="008C216A">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2BD2B951" w:rsidR="00EB5320" w:rsidRPr="00B817BD" w:rsidRDefault="0031313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Gemma Carter,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39"/>
        <w:gridCol w:w="489"/>
        <w:gridCol w:w="489"/>
        <w:gridCol w:w="499"/>
        <w:gridCol w:w="3038"/>
        <w:gridCol w:w="489"/>
        <w:gridCol w:w="489"/>
        <w:gridCol w:w="489"/>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6508CC">
        <w:trPr>
          <w:tblHeader/>
        </w:trPr>
        <w:tc>
          <w:tcPr>
            <w:tcW w:w="20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6508CC">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6508CC">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6508CC">
        <w:trPr>
          <w:cantSplit/>
          <w:trHeight w:val="1296"/>
        </w:trPr>
        <w:tc>
          <w:tcPr>
            <w:tcW w:w="565" w:type="pct"/>
            <w:shd w:val="clear" w:color="auto" w:fill="FFFFFF" w:themeFill="background1"/>
          </w:tcPr>
          <w:p w14:paraId="3C5F042C" w14:textId="3B500129" w:rsidR="00CE1AAA" w:rsidRDefault="00313131">
            <w:r>
              <w:t>Cyberbullying</w:t>
            </w:r>
          </w:p>
        </w:tc>
        <w:tc>
          <w:tcPr>
            <w:tcW w:w="885" w:type="pct"/>
            <w:shd w:val="clear" w:color="auto" w:fill="FFFFFF" w:themeFill="background1"/>
          </w:tcPr>
          <w:p w14:paraId="63109AAA" w14:textId="77777777" w:rsidR="00CE1AAA" w:rsidRDefault="00313131">
            <w:r>
              <w:t>Mental Health issues</w:t>
            </w:r>
          </w:p>
          <w:p w14:paraId="1C6C9E98" w14:textId="77777777" w:rsidR="00313131" w:rsidRDefault="00313131"/>
          <w:p w14:paraId="3C5F042D" w14:textId="0F0A625F" w:rsidR="00313131" w:rsidRDefault="00313131"/>
        </w:tc>
        <w:tc>
          <w:tcPr>
            <w:tcW w:w="630" w:type="pct"/>
            <w:shd w:val="clear" w:color="auto" w:fill="FFFFFF" w:themeFill="background1"/>
          </w:tcPr>
          <w:p w14:paraId="3C5F042E" w14:textId="1E4DD276" w:rsidR="00CE1AAA" w:rsidRDefault="006508CC">
            <w:r>
              <w:t>Society Members</w:t>
            </w:r>
          </w:p>
        </w:tc>
        <w:tc>
          <w:tcPr>
            <w:tcW w:w="159" w:type="pct"/>
            <w:shd w:val="clear" w:color="auto" w:fill="FFFFFF" w:themeFill="background1"/>
          </w:tcPr>
          <w:p w14:paraId="3C5F042F" w14:textId="46C793F3" w:rsidR="00CE1AAA" w:rsidRPr="00957A37" w:rsidRDefault="00313131"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7183A74B" w:rsidR="00CE1AAA" w:rsidRPr="00957A37" w:rsidRDefault="00313131"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74E5F514" w:rsidR="00CE1AAA" w:rsidRPr="00957A37" w:rsidRDefault="00313131" w:rsidP="00CE1AAA">
            <w:pPr>
              <w:rPr>
                <w:rFonts w:ascii="Lucida Sans" w:hAnsi="Lucida Sans"/>
                <w:b/>
              </w:rPr>
            </w:pPr>
            <w:r>
              <w:rPr>
                <w:rFonts w:ascii="Lucida Sans" w:hAnsi="Lucida Sans"/>
                <w:b/>
              </w:rPr>
              <w:t>15</w:t>
            </w:r>
          </w:p>
        </w:tc>
        <w:tc>
          <w:tcPr>
            <w:tcW w:w="987" w:type="pct"/>
            <w:shd w:val="clear" w:color="auto" w:fill="FFFFFF" w:themeFill="background1"/>
          </w:tcPr>
          <w:p w14:paraId="26B29936" w14:textId="77777777" w:rsidR="00CE1AAA" w:rsidRDefault="00313131">
            <w:pPr>
              <w:rPr>
                <w:rFonts w:cstheme="minorHAnsi"/>
                <w:bCs/>
              </w:rPr>
            </w:pPr>
            <w:r w:rsidRPr="00313131">
              <w:rPr>
                <w:rFonts w:cstheme="minorHAnsi"/>
                <w:bCs/>
              </w:rPr>
              <w:t xml:space="preserve">At least one committee member must be involved in any online activity for its entire duration to monitor any </w:t>
            </w:r>
            <w:r>
              <w:rPr>
                <w:rFonts w:cstheme="minorHAnsi"/>
                <w:bCs/>
              </w:rPr>
              <w:t>bullying</w:t>
            </w:r>
          </w:p>
          <w:p w14:paraId="6D341BC6" w14:textId="77777777" w:rsidR="00313131" w:rsidRDefault="00313131">
            <w:pPr>
              <w:rPr>
                <w:rFonts w:cstheme="minorHAnsi"/>
                <w:bCs/>
              </w:rPr>
            </w:pPr>
          </w:p>
          <w:p w14:paraId="3C5F0432" w14:textId="2CAC6890" w:rsidR="00313131" w:rsidRPr="00313131" w:rsidRDefault="00313131">
            <w:pPr>
              <w:rPr>
                <w:rFonts w:cstheme="minorHAnsi"/>
                <w:bCs/>
              </w:rPr>
            </w:pPr>
          </w:p>
        </w:tc>
        <w:tc>
          <w:tcPr>
            <w:tcW w:w="159" w:type="pct"/>
            <w:shd w:val="clear" w:color="auto" w:fill="FFFFFF" w:themeFill="background1"/>
          </w:tcPr>
          <w:p w14:paraId="3C5F0433" w14:textId="031A755E" w:rsidR="00CE1AAA" w:rsidRPr="00957A37" w:rsidRDefault="00313131"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29154322" w:rsidR="00CE1AAA" w:rsidRPr="00957A37" w:rsidRDefault="00313131" w:rsidP="00CE1AAA">
            <w:pPr>
              <w:rPr>
                <w:rFonts w:ascii="Lucida Sans" w:hAnsi="Lucida Sans"/>
                <w:b/>
              </w:rPr>
            </w:pPr>
            <w:r>
              <w:rPr>
                <w:rFonts w:ascii="Lucida Sans" w:hAnsi="Lucida Sans"/>
                <w:b/>
              </w:rPr>
              <w:t>4</w:t>
            </w:r>
          </w:p>
        </w:tc>
        <w:tc>
          <w:tcPr>
            <w:tcW w:w="159" w:type="pct"/>
            <w:shd w:val="clear" w:color="auto" w:fill="FFFFFF" w:themeFill="background1"/>
          </w:tcPr>
          <w:p w14:paraId="3C5F0435" w14:textId="2FBD3ABC" w:rsidR="00CE1AAA" w:rsidRPr="00957A37" w:rsidRDefault="00313131" w:rsidP="00CE1AAA">
            <w:pPr>
              <w:rPr>
                <w:rFonts w:ascii="Lucida Sans" w:hAnsi="Lucida Sans"/>
                <w:b/>
              </w:rPr>
            </w:pPr>
            <w:r>
              <w:rPr>
                <w:rFonts w:ascii="Lucida Sans" w:hAnsi="Lucida Sans"/>
                <w:b/>
              </w:rPr>
              <w:t>4</w:t>
            </w:r>
          </w:p>
        </w:tc>
        <w:tc>
          <w:tcPr>
            <w:tcW w:w="980" w:type="pct"/>
            <w:shd w:val="clear" w:color="auto" w:fill="FFFFFF" w:themeFill="background1"/>
          </w:tcPr>
          <w:p w14:paraId="3C5F0436" w14:textId="1D611D29" w:rsidR="00CE1AAA" w:rsidRDefault="00313131">
            <w:r>
              <w:t>Present committee members must speak out against any cruel behaviour and remove members from the activity if necessary</w:t>
            </w:r>
          </w:p>
        </w:tc>
      </w:tr>
      <w:tr w:rsidR="00CE1AAA" w14:paraId="3C5F0443" w14:textId="77777777" w:rsidTr="006508CC">
        <w:trPr>
          <w:cantSplit/>
          <w:trHeight w:val="1296"/>
        </w:trPr>
        <w:tc>
          <w:tcPr>
            <w:tcW w:w="565" w:type="pct"/>
            <w:shd w:val="clear" w:color="auto" w:fill="FFFFFF" w:themeFill="background1"/>
          </w:tcPr>
          <w:p w14:paraId="3C5F0438" w14:textId="3D7D0BC6" w:rsidR="00CE1AAA" w:rsidRDefault="00313131">
            <w:r>
              <w:t>Potential of phishing emails and viruses</w:t>
            </w:r>
          </w:p>
        </w:tc>
        <w:tc>
          <w:tcPr>
            <w:tcW w:w="885" w:type="pct"/>
            <w:shd w:val="clear" w:color="auto" w:fill="FFFFFF" w:themeFill="background1"/>
          </w:tcPr>
          <w:p w14:paraId="4D83DA95" w14:textId="77777777" w:rsidR="00CE1AAA" w:rsidRDefault="00313131">
            <w:r>
              <w:t>Computer viruses</w:t>
            </w:r>
          </w:p>
          <w:p w14:paraId="09C942A6" w14:textId="77777777" w:rsidR="00313131" w:rsidRDefault="00313131"/>
          <w:p w14:paraId="3C5F0439" w14:textId="3F9D731E" w:rsidR="00313131" w:rsidRDefault="00313131">
            <w:r>
              <w:t>Data compromised</w:t>
            </w:r>
          </w:p>
        </w:tc>
        <w:tc>
          <w:tcPr>
            <w:tcW w:w="630" w:type="pct"/>
            <w:shd w:val="clear" w:color="auto" w:fill="FFFFFF" w:themeFill="background1"/>
          </w:tcPr>
          <w:p w14:paraId="3A427FDC" w14:textId="77777777" w:rsidR="00CE1AAA" w:rsidRDefault="006508CC">
            <w:r>
              <w:t>Society Members</w:t>
            </w:r>
          </w:p>
          <w:p w14:paraId="5E57D3D0" w14:textId="77777777" w:rsidR="006508CC" w:rsidRDefault="006508CC"/>
          <w:p w14:paraId="3C5F043A" w14:textId="03748FCA" w:rsidR="006508CC" w:rsidRDefault="006508CC">
            <w:r>
              <w:t>Southampton University Student Union</w:t>
            </w:r>
          </w:p>
        </w:tc>
        <w:tc>
          <w:tcPr>
            <w:tcW w:w="159" w:type="pct"/>
            <w:shd w:val="clear" w:color="auto" w:fill="FFFFFF" w:themeFill="background1"/>
          </w:tcPr>
          <w:p w14:paraId="3C5F043B" w14:textId="29BCE7F7" w:rsidR="00CE1AAA" w:rsidRPr="00957A37" w:rsidRDefault="006508CC"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4F1BAF51" w:rsidR="00CE1AAA" w:rsidRPr="00957A37" w:rsidRDefault="006508CC"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49F56C5A" w:rsidR="00CE1AAA" w:rsidRPr="00957A37" w:rsidRDefault="006508CC" w:rsidP="00CE1AAA">
            <w:pPr>
              <w:rPr>
                <w:rFonts w:ascii="Lucida Sans" w:hAnsi="Lucida Sans"/>
                <w:b/>
              </w:rPr>
            </w:pPr>
            <w:r>
              <w:rPr>
                <w:rFonts w:ascii="Lucida Sans" w:hAnsi="Lucida Sans"/>
                <w:b/>
              </w:rPr>
              <w:t>12</w:t>
            </w:r>
          </w:p>
        </w:tc>
        <w:tc>
          <w:tcPr>
            <w:tcW w:w="987" w:type="pct"/>
            <w:shd w:val="clear" w:color="auto" w:fill="FFFFFF" w:themeFill="background1"/>
          </w:tcPr>
          <w:p w14:paraId="1C31741E" w14:textId="596E79D3" w:rsidR="006508CC" w:rsidRDefault="006508CC">
            <w:pPr>
              <w:rPr>
                <w:rFonts w:cstheme="minorHAnsi"/>
                <w:bCs/>
              </w:rPr>
            </w:pPr>
            <w:r>
              <w:rPr>
                <w:rFonts w:cstheme="minorHAnsi"/>
                <w:bCs/>
              </w:rPr>
              <w:t xml:space="preserve">Only use trusted websites and software to host online activities </w:t>
            </w:r>
          </w:p>
          <w:p w14:paraId="7E4485B1" w14:textId="77777777" w:rsidR="006508CC" w:rsidRDefault="006508CC">
            <w:pPr>
              <w:rPr>
                <w:rFonts w:cstheme="minorHAnsi"/>
                <w:bCs/>
              </w:rPr>
            </w:pPr>
          </w:p>
          <w:p w14:paraId="3C5F043E" w14:textId="7CDD5CD9" w:rsidR="006508CC" w:rsidRPr="006508CC" w:rsidRDefault="006508CC" w:rsidP="006508CC">
            <w:pPr>
              <w:rPr>
                <w:rFonts w:cstheme="minorHAnsi"/>
                <w:bCs/>
              </w:rPr>
            </w:pPr>
            <w:r>
              <w:rPr>
                <w:rFonts w:cstheme="minorHAnsi"/>
                <w:bCs/>
              </w:rPr>
              <w:t>Encourage society members to install computer security software and be cyber-aware e.g. not opening any suspicious links on emails</w:t>
            </w:r>
          </w:p>
        </w:tc>
        <w:tc>
          <w:tcPr>
            <w:tcW w:w="159" w:type="pct"/>
            <w:shd w:val="clear" w:color="auto" w:fill="FFFFFF" w:themeFill="background1"/>
          </w:tcPr>
          <w:p w14:paraId="3C5F043F" w14:textId="533FF2AF" w:rsidR="00CE1AAA" w:rsidRPr="00957A37" w:rsidRDefault="006508CC" w:rsidP="00CE1AAA">
            <w:pPr>
              <w:rPr>
                <w:rFonts w:ascii="Lucida Sans" w:hAnsi="Lucida Sans"/>
                <w:b/>
              </w:rPr>
            </w:pPr>
            <w:r>
              <w:rPr>
                <w:rFonts w:ascii="Lucida Sans" w:hAnsi="Lucida Sans"/>
                <w:b/>
              </w:rPr>
              <w:t>2</w:t>
            </w:r>
          </w:p>
        </w:tc>
        <w:tc>
          <w:tcPr>
            <w:tcW w:w="159" w:type="pct"/>
            <w:shd w:val="clear" w:color="auto" w:fill="FFFFFF" w:themeFill="background1"/>
          </w:tcPr>
          <w:p w14:paraId="3C5F0440" w14:textId="574DF52C" w:rsidR="00CE1AAA" w:rsidRPr="00957A37" w:rsidRDefault="006508CC" w:rsidP="00CE1AAA">
            <w:pPr>
              <w:rPr>
                <w:rFonts w:ascii="Lucida Sans" w:hAnsi="Lucida Sans"/>
                <w:b/>
              </w:rPr>
            </w:pPr>
            <w:r>
              <w:rPr>
                <w:rFonts w:ascii="Lucida Sans" w:hAnsi="Lucida Sans"/>
                <w:b/>
              </w:rPr>
              <w:t>3</w:t>
            </w:r>
          </w:p>
        </w:tc>
        <w:tc>
          <w:tcPr>
            <w:tcW w:w="159" w:type="pct"/>
            <w:shd w:val="clear" w:color="auto" w:fill="FFFFFF" w:themeFill="background1"/>
          </w:tcPr>
          <w:p w14:paraId="3C5F0441" w14:textId="64C36B67" w:rsidR="00CE1AAA" w:rsidRPr="00957A37" w:rsidRDefault="006508CC" w:rsidP="00CE1AAA">
            <w:pPr>
              <w:rPr>
                <w:rFonts w:ascii="Lucida Sans" w:hAnsi="Lucida Sans"/>
                <w:b/>
              </w:rPr>
            </w:pPr>
            <w:r>
              <w:rPr>
                <w:rFonts w:ascii="Lucida Sans" w:hAnsi="Lucida Sans"/>
                <w:b/>
              </w:rPr>
              <w:t>6</w:t>
            </w:r>
          </w:p>
        </w:tc>
        <w:tc>
          <w:tcPr>
            <w:tcW w:w="980" w:type="pct"/>
            <w:shd w:val="clear" w:color="auto" w:fill="FFFFFF" w:themeFill="background1"/>
          </w:tcPr>
          <w:p w14:paraId="3C5F0442" w14:textId="07F525F8" w:rsidR="00CE1AAA" w:rsidRDefault="006508CC">
            <w:r>
              <w:t xml:space="preserve">If a </w:t>
            </w:r>
            <w:proofErr w:type="spellStart"/>
            <w:r>
              <w:t>cyber attack</w:t>
            </w:r>
            <w:proofErr w:type="spellEnd"/>
            <w:r>
              <w:t xml:space="preserve"> does take place, ensure the affected users are informed immediately so the relevant protection measures can be put in place</w:t>
            </w:r>
          </w:p>
        </w:tc>
      </w:tr>
      <w:tr w:rsidR="00CE1AAA" w14:paraId="3C5F044F" w14:textId="77777777" w:rsidTr="006508CC">
        <w:trPr>
          <w:cantSplit/>
          <w:trHeight w:val="1296"/>
        </w:trPr>
        <w:tc>
          <w:tcPr>
            <w:tcW w:w="565" w:type="pct"/>
            <w:shd w:val="clear" w:color="auto" w:fill="FFFFFF" w:themeFill="background1"/>
          </w:tcPr>
          <w:p w14:paraId="3C5F0444" w14:textId="16075B2C" w:rsidR="00CE1AAA" w:rsidRDefault="006508CC">
            <w:r>
              <w:t>Confidentiality being compromised</w:t>
            </w:r>
          </w:p>
        </w:tc>
        <w:tc>
          <w:tcPr>
            <w:tcW w:w="885" w:type="pct"/>
            <w:shd w:val="clear" w:color="auto" w:fill="FFFFFF" w:themeFill="background1"/>
          </w:tcPr>
          <w:p w14:paraId="46013B7C" w14:textId="237063A6" w:rsidR="006508CC" w:rsidRDefault="006508CC">
            <w:r>
              <w:t>Uninvited people into Zoom calls</w:t>
            </w:r>
          </w:p>
          <w:p w14:paraId="29AB9DAA" w14:textId="77777777" w:rsidR="006508CC" w:rsidRDefault="006508CC"/>
          <w:p w14:paraId="3C5F0445" w14:textId="5CB27A0D" w:rsidR="00CE1AAA" w:rsidRDefault="006508CC">
            <w:r>
              <w:t>Loss of confidence in the society by members</w:t>
            </w:r>
          </w:p>
        </w:tc>
        <w:tc>
          <w:tcPr>
            <w:tcW w:w="630" w:type="pct"/>
            <w:shd w:val="clear" w:color="auto" w:fill="FFFFFF" w:themeFill="background1"/>
          </w:tcPr>
          <w:p w14:paraId="3C5F0446" w14:textId="5EE7814C" w:rsidR="00CE1AAA" w:rsidRDefault="006508CC">
            <w:r>
              <w:t>Society Members</w:t>
            </w:r>
          </w:p>
        </w:tc>
        <w:tc>
          <w:tcPr>
            <w:tcW w:w="159" w:type="pct"/>
            <w:shd w:val="clear" w:color="auto" w:fill="FFFFFF" w:themeFill="background1"/>
          </w:tcPr>
          <w:p w14:paraId="3C5F0447" w14:textId="72582E14" w:rsidR="00CE1AAA" w:rsidRPr="00957A37" w:rsidRDefault="006508CC"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3BEC9D91" w:rsidR="00CE1AAA" w:rsidRPr="00957A37" w:rsidRDefault="006508CC"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7F659784" w:rsidR="00CE1AAA" w:rsidRPr="00957A37" w:rsidRDefault="006508CC" w:rsidP="00CE1AAA">
            <w:pPr>
              <w:rPr>
                <w:rFonts w:ascii="Lucida Sans" w:hAnsi="Lucida Sans"/>
                <w:b/>
              </w:rPr>
            </w:pPr>
            <w:r>
              <w:rPr>
                <w:rFonts w:ascii="Lucida Sans" w:hAnsi="Lucida Sans"/>
                <w:b/>
              </w:rPr>
              <w:t>6</w:t>
            </w:r>
          </w:p>
        </w:tc>
        <w:tc>
          <w:tcPr>
            <w:tcW w:w="987" w:type="pct"/>
            <w:shd w:val="clear" w:color="auto" w:fill="FFFFFF" w:themeFill="background1"/>
          </w:tcPr>
          <w:p w14:paraId="3C5F044A" w14:textId="1A239A9A" w:rsidR="00CE1AAA" w:rsidRPr="006508CC" w:rsidRDefault="006508CC">
            <w:pPr>
              <w:rPr>
                <w:rFonts w:cstheme="minorHAnsi"/>
                <w:bCs/>
              </w:rPr>
            </w:pPr>
            <w:r>
              <w:rPr>
                <w:rFonts w:cstheme="minorHAnsi"/>
                <w:bCs/>
              </w:rPr>
              <w:t xml:space="preserve">Using passwords to enter calls so that only members of the society can join </w:t>
            </w:r>
          </w:p>
        </w:tc>
        <w:tc>
          <w:tcPr>
            <w:tcW w:w="159" w:type="pct"/>
            <w:shd w:val="clear" w:color="auto" w:fill="FFFFFF" w:themeFill="background1"/>
          </w:tcPr>
          <w:p w14:paraId="3C5F044B" w14:textId="62EED18C" w:rsidR="00CE1AAA" w:rsidRPr="00957A37" w:rsidRDefault="006508CC"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7EE9CC43" w:rsidR="00CE1AAA" w:rsidRPr="00957A37" w:rsidRDefault="006508CC" w:rsidP="00CE1AAA">
            <w:pPr>
              <w:rPr>
                <w:rFonts w:ascii="Lucida Sans" w:hAnsi="Lucida Sans"/>
                <w:b/>
              </w:rPr>
            </w:pPr>
            <w:r>
              <w:rPr>
                <w:rFonts w:ascii="Lucida Sans" w:hAnsi="Lucida Sans"/>
                <w:b/>
              </w:rPr>
              <w:t>3</w:t>
            </w:r>
          </w:p>
        </w:tc>
        <w:tc>
          <w:tcPr>
            <w:tcW w:w="159" w:type="pct"/>
            <w:shd w:val="clear" w:color="auto" w:fill="FFFFFF" w:themeFill="background1"/>
          </w:tcPr>
          <w:p w14:paraId="3C5F044D" w14:textId="6A4E0F76" w:rsidR="00CE1AAA" w:rsidRPr="00957A37" w:rsidRDefault="006508CC" w:rsidP="00CE1AAA">
            <w:pPr>
              <w:rPr>
                <w:rFonts w:ascii="Lucida Sans" w:hAnsi="Lucida Sans"/>
                <w:b/>
              </w:rPr>
            </w:pPr>
            <w:r>
              <w:rPr>
                <w:rFonts w:ascii="Lucida Sans" w:hAnsi="Lucida Sans"/>
                <w:b/>
              </w:rPr>
              <w:t>3</w:t>
            </w:r>
          </w:p>
        </w:tc>
        <w:tc>
          <w:tcPr>
            <w:tcW w:w="980" w:type="pct"/>
            <w:shd w:val="clear" w:color="auto" w:fill="FFFFFF" w:themeFill="background1"/>
          </w:tcPr>
          <w:p w14:paraId="3C5F044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69"/>
        <w:gridCol w:w="1791"/>
        <w:gridCol w:w="138"/>
        <w:gridCol w:w="1051"/>
        <w:gridCol w:w="1051"/>
        <w:gridCol w:w="4196"/>
        <w:gridCol w:w="1723"/>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4FB41C13" w:rsidR="00C642F4" w:rsidRPr="00957A37" w:rsidRDefault="006508CC"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0CA177D7" w:rsidR="00C642F4" w:rsidRPr="00957A37" w:rsidRDefault="006508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Appoint a committee member with the relevant knowledge to investigate and choose appropriate websites and software to use for online activity</w:t>
            </w:r>
          </w:p>
        </w:tc>
        <w:tc>
          <w:tcPr>
            <w:tcW w:w="602" w:type="pct"/>
          </w:tcPr>
          <w:p w14:paraId="3C5F048F" w14:textId="3919BC06" w:rsidR="00C642F4" w:rsidRPr="00957A37" w:rsidRDefault="006508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headed by Gemma Carter</w:t>
            </w:r>
          </w:p>
        </w:tc>
        <w:tc>
          <w:tcPr>
            <w:tcW w:w="319" w:type="pct"/>
            <w:gridSpan w:val="2"/>
          </w:tcPr>
          <w:p w14:paraId="3C5F0490" w14:textId="3304C8E5" w:rsidR="00C642F4" w:rsidRPr="00957A37" w:rsidRDefault="006508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23.9.20</w:t>
            </w:r>
          </w:p>
        </w:tc>
        <w:tc>
          <w:tcPr>
            <w:tcW w:w="344" w:type="pct"/>
            <w:tcBorders>
              <w:right w:val="single" w:sz="18" w:space="0" w:color="auto"/>
            </w:tcBorders>
          </w:tcPr>
          <w:p w14:paraId="3C5F0491" w14:textId="3B19065F" w:rsidR="00C642F4" w:rsidRPr="00957A37" w:rsidRDefault="006508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30.9.20</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4A1643E7" w:rsidR="00C642F4" w:rsidRPr="00957A37" w:rsidRDefault="006508CC"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0CF2A9CF" w:rsidR="00C642F4" w:rsidRPr="00957A37" w:rsidRDefault="006508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Social Secretary makes plans for online activities at least a week before the date and ensures that at least one committee member can commit to being present</w:t>
            </w:r>
          </w:p>
        </w:tc>
        <w:tc>
          <w:tcPr>
            <w:tcW w:w="602" w:type="pct"/>
          </w:tcPr>
          <w:p w14:paraId="3C5F0496" w14:textId="09448BAA" w:rsidR="00C642F4" w:rsidRPr="00957A37" w:rsidRDefault="006508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Ashlyn </w:t>
            </w:r>
            <w:proofErr w:type="spellStart"/>
            <w:r>
              <w:rPr>
                <w:rFonts w:ascii="Lucida Sans" w:eastAsia="Times New Roman" w:hAnsi="Lucida Sans" w:cs="Arial"/>
                <w:color w:val="000000"/>
                <w:szCs w:val="20"/>
              </w:rPr>
              <w:t>Cordas</w:t>
            </w:r>
            <w:proofErr w:type="spellEnd"/>
            <w:r>
              <w:rPr>
                <w:rFonts w:ascii="Lucida Sans" w:eastAsia="Times New Roman" w:hAnsi="Lucida Sans" w:cs="Arial"/>
                <w:color w:val="000000"/>
                <w:szCs w:val="20"/>
              </w:rPr>
              <w:t>, Social Secretary</w:t>
            </w:r>
          </w:p>
        </w:tc>
        <w:tc>
          <w:tcPr>
            <w:tcW w:w="319" w:type="pct"/>
            <w:gridSpan w:val="2"/>
          </w:tcPr>
          <w:p w14:paraId="3C5F0497" w14:textId="556E07E1" w:rsidR="00C642F4" w:rsidRPr="00957A37" w:rsidRDefault="006508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23.9.20</w:t>
            </w:r>
          </w:p>
        </w:tc>
        <w:tc>
          <w:tcPr>
            <w:tcW w:w="344" w:type="pct"/>
            <w:tcBorders>
              <w:right w:val="single" w:sz="18" w:space="0" w:color="auto"/>
            </w:tcBorders>
          </w:tcPr>
          <w:p w14:paraId="3C5F0498" w14:textId="0742137F" w:rsidR="00C642F4" w:rsidRPr="00957A37" w:rsidRDefault="006508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30.9.20</w:t>
            </w: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D3303FA" w:rsidR="00C642F4" w:rsidRPr="00460132" w:rsidRDefault="00C642F4" w:rsidP="00124F67">
            <w:pPr>
              <w:autoSpaceDE w:val="0"/>
              <w:autoSpaceDN w:val="0"/>
              <w:adjustRightInd w:val="0"/>
              <w:spacing w:after="0" w:line="240" w:lineRule="auto"/>
              <w:outlineLvl w:val="0"/>
              <w:rPr>
                <w:rFonts w:ascii="Lucida Sans" w:eastAsia="Times New Roman" w:hAnsi="Lucida Sans" w:cs="Arial"/>
                <w:b/>
                <w:bCs/>
                <w:i/>
                <w:iCs/>
                <w:color w:val="000000"/>
                <w:szCs w:val="20"/>
              </w:rPr>
            </w:pPr>
            <w:r w:rsidRPr="00957A37">
              <w:rPr>
                <w:rFonts w:ascii="Lucida Sans" w:eastAsia="Times New Roman" w:hAnsi="Lucida Sans" w:cs="Arial"/>
                <w:color w:val="000000"/>
                <w:szCs w:val="20"/>
              </w:rPr>
              <w:t>Responsible manager’s signature:</w:t>
            </w:r>
            <w:r w:rsidR="00460132">
              <w:rPr>
                <w:rFonts w:ascii="Lucida Sans" w:eastAsia="Times New Roman" w:hAnsi="Lucida Sans" w:cs="Arial"/>
                <w:color w:val="000000"/>
                <w:szCs w:val="20"/>
              </w:rPr>
              <w:t xml:space="preserve"> </w:t>
            </w:r>
            <w:proofErr w:type="spellStart"/>
            <w:proofErr w:type="gramStart"/>
            <w:r w:rsidR="00460132">
              <w:rPr>
                <w:rFonts w:ascii="Lucida Sans" w:eastAsia="Times New Roman" w:hAnsi="Lucida Sans" w:cs="Arial"/>
                <w:b/>
                <w:bCs/>
                <w:i/>
                <w:iCs/>
                <w:color w:val="000000"/>
                <w:szCs w:val="20"/>
              </w:rPr>
              <w:t>G.Carter</w:t>
            </w:r>
            <w:proofErr w:type="spellEnd"/>
            <w:proofErr w:type="gramEnd"/>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6D2FB1E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60132">
              <w:rPr>
                <w:rFonts w:ascii="Lucida Sans" w:eastAsia="Times New Roman" w:hAnsi="Lucida Sans" w:cs="Arial"/>
                <w:color w:val="000000"/>
                <w:szCs w:val="20"/>
              </w:rPr>
              <w:t xml:space="preserve"> GEMMA CARTER</w:t>
            </w:r>
          </w:p>
        </w:tc>
        <w:tc>
          <w:tcPr>
            <w:tcW w:w="254" w:type="pct"/>
            <w:tcBorders>
              <w:top w:val="nil"/>
              <w:left w:val="nil"/>
            </w:tcBorders>
          </w:tcPr>
          <w:p w14:paraId="3C5F04C4" w14:textId="1822F11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60132">
              <w:rPr>
                <w:rFonts w:ascii="Lucida Sans" w:eastAsia="Times New Roman" w:hAnsi="Lucida Sans" w:cs="Arial"/>
                <w:color w:val="000000"/>
                <w:szCs w:val="20"/>
              </w:rPr>
              <w:t xml:space="preserve"> 15.9.20</w:t>
            </w:r>
            <w:bookmarkStart w:id="0" w:name="_GoBack"/>
            <w:bookmarkEnd w:id="0"/>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8FDE0" w14:textId="77777777" w:rsidR="000F71DD" w:rsidRDefault="000F71DD" w:rsidP="00AC47B4">
      <w:pPr>
        <w:spacing w:after="0" w:line="240" w:lineRule="auto"/>
      </w:pPr>
      <w:r>
        <w:separator/>
      </w:r>
    </w:p>
  </w:endnote>
  <w:endnote w:type="continuationSeparator" w:id="0">
    <w:p w14:paraId="7BBE5849" w14:textId="77777777" w:rsidR="000F71DD" w:rsidRDefault="000F71D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B43E" w14:textId="77777777" w:rsidR="000F71DD" w:rsidRDefault="000F71DD" w:rsidP="00AC47B4">
      <w:pPr>
        <w:spacing w:after="0" w:line="240" w:lineRule="auto"/>
      </w:pPr>
      <w:r>
        <w:separator/>
      </w:r>
    </w:p>
  </w:footnote>
  <w:footnote w:type="continuationSeparator" w:id="0">
    <w:p w14:paraId="306A7C87" w14:textId="77777777" w:rsidR="000F71DD" w:rsidRDefault="000F71D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3131"/>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013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8CC"/>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2C0318-1EAB-4390-B118-A2DCB798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Gemma Carter</cp:lastModifiedBy>
  <cp:revision>2</cp:revision>
  <cp:lastPrinted>2016-04-18T12:10:00Z</cp:lastPrinted>
  <dcterms:created xsi:type="dcterms:W3CDTF">2020-09-15T15:49:00Z</dcterms:created>
  <dcterms:modified xsi:type="dcterms:W3CDTF">2020-09-15T15:49:00Z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