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A79273F" w:rsidR="00A156C3" w:rsidRPr="00A156C3" w:rsidRDefault="00DC1E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OASIS Winter Ball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br/>
              <w:t>Time: 6:30pm – midnight</w:t>
            </w:r>
            <w:r w:rsidR="003E7513">
              <w:rPr>
                <w:rFonts w:ascii="Verdana" w:eastAsia="Times New Roman" w:hAnsi="Verdana" w:cs="Times New Roman"/>
                <w:b/>
                <w:lang w:eastAsia="en-GB"/>
              </w:rPr>
              <w:t xml:space="preserve"> (8</w:t>
            </w:r>
            <w:r w:rsidR="003E7513" w:rsidRPr="003E7513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3E7513">
              <w:rPr>
                <w:rFonts w:ascii="Verdana" w:eastAsia="Times New Roman" w:hAnsi="Verdana" w:cs="Times New Roman"/>
                <w:b/>
                <w:lang w:eastAsia="en-GB"/>
              </w:rPr>
              <w:t xml:space="preserve"> of December)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br/>
              <w:t xml:space="preserve">Location: </w:t>
            </w:r>
            <w:r w:rsidR="003E7513">
              <w:rPr>
                <w:rFonts w:ascii="Verdana" w:eastAsia="Times New Roman" w:hAnsi="Verdana" w:cs="Times New Roman"/>
                <w:b/>
                <w:lang w:eastAsia="en-GB"/>
              </w:rPr>
              <w:t>Leonardo Royal Hotel Southampton Grand Harbour SO15 1AG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8BB51FF" w:rsidR="00A156C3" w:rsidRPr="00A156C3" w:rsidRDefault="00DC1E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22/11/22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BEC87D3" w:rsidR="00A156C3" w:rsidRPr="00A156C3" w:rsidRDefault="00DC1E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ABACUS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4970BE1" w:rsidR="00A156C3" w:rsidRPr="00A156C3" w:rsidRDefault="00DC1EF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Silvia Siew Ling Kho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7ECE00A" w:rsidR="00EB5320" w:rsidRPr="00B817BD" w:rsidRDefault="00DC1EF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Emmy Wing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39BEA3AD" w:rsidR="00EB5320" w:rsidRDefault="00BE346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Emmy Wing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5B246C4" w:rsidR="00CE1AAA" w:rsidRDefault="001707D8">
            <w:r>
              <w:t>Road traffic accident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D598451" w:rsidR="00CE1AAA" w:rsidRDefault="001707D8">
            <w:r>
              <w:t>Collision of vehicles causing serious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F6C12D9" w:rsidR="00CE1AAA" w:rsidRDefault="001707D8">
            <w:r>
              <w:t>Event attendees and organisers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01C04FE" w:rsidR="00CE1AAA" w:rsidRPr="00957A37" w:rsidRDefault="001707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5DF86F45" w:rsidR="00CE1AAA" w:rsidRPr="00957A37" w:rsidRDefault="001707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8F1939A" w:rsidR="00CE1AAA" w:rsidRPr="00957A37" w:rsidRDefault="001707D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B44568A" w14:textId="77777777" w:rsidR="00CE1AAA" w:rsidRPr="001707D8" w:rsidRDefault="001707D8" w:rsidP="001707D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Location and route to venue shared on social media before event to ensure all attendees are aware that travelling to and from venues is attendees’ own responsibility.</w:t>
            </w:r>
          </w:p>
          <w:p w14:paraId="4F0352C1" w14:textId="77777777" w:rsidR="001707D8" w:rsidRDefault="001707D8" w:rsidP="001707D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Venue chosen is known to </w:t>
            </w:r>
            <w:proofErr w:type="spellStart"/>
            <w:r>
              <w:rPr>
                <w:rFonts w:ascii="Lucida Sans" w:hAnsi="Lucida Sans"/>
                <w:bCs/>
              </w:rPr>
              <w:t>UoS</w:t>
            </w:r>
            <w:proofErr w:type="spellEnd"/>
            <w:r>
              <w:rPr>
                <w:rFonts w:ascii="Lucida Sans" w:hAnsi="Lucida Sans"/>
                <w:bCs/>
              </w:rPr>
              <w:t xml:space="preserve"> students</w:t>
            </w:r>
          </w:p>
          <w:p w14:paraId="2B2BE36C" w14:textId="77777777" w:rsidR="001707D8" w:rsidRDefault="001707D8" w:rsidP="001707D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Event organisers will be available to direct people between venues.</w:t>
            </w:r>
          </w:p>
          <w:p w14:paraId="6D6E6E8C" w14:textId="77777777" w:rsidR="001707D8" w:rsidRDefault="001707D8" w:rsidP="001707D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Attendees are encouraged (but not expected) to look out for each other and check in throughout the evening whenever possible.</w:t>
            </w:r>
          </w:p>
          <w:p w14:paraId="3C5F0432" w14:textId="546A1160" w:rsidR="001707D8" w:rsidRPr="001707D8" w:rsidRDefault="001707D8" w:rsidP="001707D8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Attendees and organisers are to be aware and considerate of other pedestrians and road users, keep disturbance and noise down.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5F91A4C5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16AF31A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EFD2EF9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057A79DE" w14:textId="77777777" w:rsidR="00CE1AAA" w:rsidRDefault="00A14A8E" w:rsidP="00A14A8E">
            <w:pPr>
              <w:pStyle w:val="ListParagraph"/>
              <w:numPr>
                <w:ilvl w:val="0"/>
                <w:numId w:val="40"/>
              </w:numPr>
            </w:pPr>
            <w:r>
              <w:t>Venues chosen are local and easily accessible</w:t>
            </w:r>
          </w:p>
          <w:p w14:paraId="34956324" w14:textId="0D863AD2" w:rsidR="00A14A8E" w:rsidRPr="00C92BF7" w:rsidRDefault="00A14A8E" w:rsidP="00A14A8E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C92BF7">
              <w:rPr>
                <w:color w:val="000000" w:themeColor="text1"/>
              </w:rPr>
              <w:t>ll incidents are to be reported on the as soon as possible ensuring the duty manager/health and safety officer have been informed.</w:t>
            </w:r>
          </w:p>
          <w:p w14:paraId="3C5F0436" w14:textId="620930AC" w:rsidR="00A14A8E" w:rsidRDefault="00A14A8E" w:rsidP="00A14A8E">
            <w:pPr>
              <w:pStyle w:val="ListParagraph"/>
              <w:numPr>
                <w:ilvl w:val="0"/>
                <w:numId w:val="40"/>
              </w:num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E0054C2" w:rsidR="00CE1AAA" w:rsidRDefault="00A14A8E">
            <w:r>
              <w:t>Attendees getting lost or leaving without anybody being aware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116F2FF" w:rsidR="00CE1AAA" w:rsidRDefault="00A14A8E">
            <w:r>
              <w:t>Throughout the event, attendees may decide to leave without notice or get lost during their journey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49E0AC5" w:rsidR="00CE1AAA" w:rsidRDefault="00A14A8E">
            <w:r>
              <w:t>Event organisers, event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1629711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D6F6D9E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6CD3D03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8643CB1" w:rsidR="00CE1AAA" w:rsidRPr="00A14A8E" w:rsidRDefault="00A14A8E" w:rsidP="00A14A8E">
            <w:pPr>
              <w:pStyle w:val="ListParagraph"/>
              <w:numPr>
                <w:ilvl w:val="0"/>
                <w:numId w:val="42"/>
              </w:numPr>
              <w:rPr>
                <w:rFonts w:ascii="Lucida Sans" w:hAnsi="Lucida Sans"/>
                <w:b/>
              </w:rPr>
            </w:pPr>
            <w:r w:rsidRPr="00A14A8E">
              <w:rPr>
                <w:rFonts w:ascii="Lucida Sans" w:hAnsi="Lucida Sans"/>
              </w:rPr>
              <w:t>If a person leaves without warning all efforts will be done to locate them. Stress however that attendees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4FC4813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3D65E7B4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0976C653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7E2CEBB3" w14:textId="77777777" w:rsidR="00A14A8E" w:rsidRDefault="00A14A8E" w:rsidP="00A14A8E">
            <w:pPr>
              <w:pStyle w:val="ListParagraph"/>
              <w:numPr>
                <w:ilvl w:val="0"/>
                <w:numId w:val="43"/>
              </w:numPr>
              <w:rPr>
                <w:rStyle w:val="Hyperlink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3C5F0442" w14:textId="51066A68" w:rsidR="00CE1AAA" w:rsidRPr="00A14A8E" w:rsidRDefault="00A14A8E" w:rsidP="00A14A8E">
            <w:pPr>
              <w:pStyle w:val="ListParagraph"/>
              <w:numPr>
                <w:ilvl w:val="0"/>
                <w:numId w:val="43"/>
              </w:numPr>
              <w:rPr>
                <w:color w:val="0000FF" w:themeColor="hyperlink"/>
                <w:u w:val="single"/>
              </w:rPr>
            </w:pPr>
            <w:r w:rsidRPr="00A14A8E">
              <w:rPr>
                <w:color w:val="000000" w:themeColor="text1"/>
              </w:rPr>
              <w:t>Call emergency services as required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BDBE76E" w:rsidR="00CE1AAA" w:rsidRDefault="00A14A8E">
            <w:r>
              <w:lastRenderedPageBreak/>
              <w:t>Alcoholic beverages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34E8B64F" w:rsidR="00CE1AAA" w:rsidRDefault="00A14A8E">
            <w:r>
              <w:t xml:space="preserve">Injuries due to excessive consumption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E766C20" w:rsidR="00CE1AAA" w:rsidRDefault="00A14A8E">
            <w:r>
              <w:t>Event attendees and organisers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01EC8F8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7F8250E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65AAE40C" w:rsidR="00CE1AAA" w:rsidRPr="00957A37" w:rsidRDefault="00A14A8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69865176" w14:textId="12D31857" w:rsidR="00CE1AAA" w:rsidRPr="00583029" w:rsidRDefault="00A14A8E" w:rsidP="00A14A8E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The event will be supervised the committee members of each attending society</w:t>
            </w:r>
            <w:r w:rsidR="00583029">
              <w:rPr>
                <w:rFonts w:ascii="Lucida Sans" w:hAnsi="Lucida Sans"/>
                <w:bCs/>
              </w:rPr>
              <w:t xml:space="preserve">. </w:t>
            </w:r>
            <w:r w:rsidR="00E86032">
              <w:rPr>
                <w:rFonts w:ascii="Lucida Sans" w:hAnsi="Lucida Sans"/>
                <w:bCs/>
              </w:rPr>
              <w:t>Ideally, they</w:t>
            </w:r>
            <w:r w:rsidR="00583029">
              <w:rPr>
                <w:rFonts w:ascii="Lucida Sans" w:hAnsi="Lucida Sans"/>
                <w:bCs/>
              </w:rPr>
              <w:t xml:space="preserve"> will not drink excessively during the event.</w:t>
            </w:r>
          </w:p>
          <w:p w14:paraId="6384D57A" w14:textId="77777777" w:rsidR="00583029" w:rsidRDefault="00583029" w:rsidP="00583029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Trained staff should be aware and watch for people who likely consumed a lot of alcohol. Any suspicious behaviour is to be reported to available staff.</w:t>
            </w:r>
          </w:p>
          <w:p w14:paraId="2F562BE5" w14:textId="77777777" w:rsidR="00583029" w:rsidRDefault="00583029" w:rsidP="00583029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The organisers have confirmed the premise is licensed. </w:t>
            </w:r>
            <w:r>
              <w:rPr>
                <w:rFonts w:ascii="Lucida Sans" w:hAnsi="Lucida Sans"/>
                <w:b/>
              </w:rPr>
              <w:t>Action organisers (b).</w:t>
            </w:r>
          </w:p>
          <w:p w14:paraId="741F6506" w14:textId="77777777" w:rsidR="00583029" w:rsidRDefault="00583029" w:rsidP="00583029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Consumption of alcohol </w:t>
            </w:r>
            <w:r w:rsidR="00E86032">
              <w:rPr>
                <w:rFonts w:ascii="Lucida Sans" w:hAnsi="Lucida Sans"/>
                <w:bCs/>
              </w:rPr>
              <w:t>will take place at a licensed premise (Leonardo Royal Hotel). The conditions on the license will be adhered to and alcohol will not be served to customers who have drunk to excess.</w:t>
            </w:r>
          </w:p>
          <w:p w14:paraId="3C221BDE" w14:textId="77777777" w:rsidR="00E86032" w:rsidRDefault="00E86032" w:rsidP="00E86032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/>
              </w:rPr>
              <w:t xml:space="preserve">Games involving binge drinking or the consumption of excessive amounts of alcohol are not to be </w:t>
            </w:r>
            <w:r>
              <w:rPr>
                <w:rFonts w:ascii="Lucida Sans" w:hAnsi="Lucida Sans"/>
                <w:b/>
              </w:rPr>
              <w:lastRenderedPageBreak/>
              <w:t>undertaken at this event.</w:t>
            </w:r>
          </w:p>
          <w:p w14:paraId="3C5F044A" w14:textId="28F1C74B" w:rsidR="00E86032" w:rsidRPr="00E86032" w:rsidRDefault="00E86032" w:rsidP="00E86032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</w:t>
            </w:r>
            <w:r w:rsidRPr="00E86032">
              <w:rPr>
                <w:rFonts w:ascii="Lucida Sans" w:hAnsi="Lucida Sans"/>
                <w:bCs/>
              </w:rPr>
              <w:t>ociety to follow Code of Conduct/</w:t>
            </w:r>
            <w:hyperlink r:id="rId13" w:history="1">
              <w:r w:rsidRPr="00E86032">
                <w:rPr>
                  <w:rStyle w:val="Hyperlink"/>
                  <w:rFonts w:ascii="Lucida Sans" w:hAnsi="Lucida Sans"/>
                  <w:b/>
                  <w:bCs/>
                </w:rPr>
                <w:t>Expect Respect policy</w:t>
              </w:r>
            </w:hyperlink>
          </w:p>
        </w:tc>
        <w:tc>
          <w:tcPr>
            <w:tcW w:w="121" w:type="pct"/>
            <w:shd w:val="clear" w:color="auto" w:fill="FFFFFF" w:themeFill="background1"/>
          </w:tcPr>
          <w:p w14:paraId="3C5F044B" w14:textId="7BE92E01" w:rsidR="00CE1AAA" w:rsidRPr="00957A37" w:rsidRDefault="00E860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3B96C6AE" w:rsidR="00CE1AAA" w:rsidRPr="00957A37" w:rsidRDefault="00E860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2250C22D" w:rsidR="00CE1AAA" w:rsidRPr="00957A37" w:rsidRDefault="00E860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3FBD27AD" w14:textId="77777777" w:rsidR="00CE1AAA" w:rsidRDefault="00E86032" w:rsidP="00E86032">
            <w:pPr>
              <w:pStyle w:val="ListParagraph"/>
              <w:numPr>
                <w:ilvl w:val="0"/>
                <w:numId w:val="45"/>
              </w:numPr>
            </w:pPr>
            <w:r>
              <w:t>Members are responsible for their individual safety and are expected to act sensibly. Taxis/SUSU Safety Bus will be called if required.</w:t>
            </w:r>
          </w:p>
          <w:p w14:paraId="1F5DD6AB" w14:textId="77777777" w:rsidR="00E86032" w:rsidRDefault="00E86032" w:rsidP="00E86032">
            <w:pPr>
              <w:pStyle w:val="ListParagraph"/>
              <w:numPr>
                <w:ilvl w:val="0"/>
                <w:numId w:val="45"/>
              </w:numPr>
            </w:pPr>
            <w:r>
              <w:t>If attendees need to be accompanied to the hospital, any available committee member will follow along.</w:t>
            </w:r>
          </w:p>
          <w:p w14:paraId="48985293" w14:textId="77777777" w:rsidR="00E86032" w:rsidRDefault="00E86032" w:rsidP="00E86032">
            <w:pPr>
              <w:pStyle w:val="ListParagraph"/>
              <w:numPr>
                <w:ilvl w:val="0"/>
                <w:numId w:val="45"/>
              </w:numPr>
            </w:pPr>
            <w:r>
              <w:t>Attendees are advised to avoid leaving their drinks unattended; suspicion of spiked drinks must be reported (try to retain the drink for testing)</w:t>
            </w:r>
          </w:p>
          <w:p w14:paraId="7A5D4111" w14:textId="77777777" w:rsidR="004B312F" w:rsidRDefault="004B312F" w:rsidP="00E86032">
            <w:pPr>
              <w:pStyle w:val="ListParagraph"/>
              <w:numPr>
                <w:ilvl w:val="0"/>
                <w:numId w:val="45"/>
              </w:numPr>
            </w:pPr>
            <w:r>
              <w:t>All incidents are to be reported as soon as possible, ensure the duty manager/health and safety officer have been informed.</w:t>
            </w:r>
          </w:p>
          <w:p w14:paraId="3C5F044E" w14:textId="5ABD7FCF" w:rsidR="004B312F" w:rsidRDefault="004B312F" w:rsidP="00E86032">
            <w:pPr>
              <w:pStyle w:val="ListParagraph"/>
              <w:numPr>
                <w:ilvl w:val="0"/>
                <w:numId w:val="45"/>
              </w:numPr>
            </w:pPr>
            <w:r>
              <w:t xml:space="preserve">Follow </w:t>
            </w:r>
            <w:hyperlink r:id="rId14" w:history="1">
              <w:r>
                <w:rPr>
                  <w:rStyle w:val="Hyperlink"/>
                </w:rPr>
                <w:t>SUSU incident report policy</w:t>
              </w:r>
            </w:hyperlink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6A9568D" w:rsidR="00CE1AAA" w:rsidRDefault="007F04C5">
            <w:r>
              <w:t>Adverse weather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D49D86D" w:rsidR="00CE1AAA" w:rsidRDefault="007F04C5">
            <w:r>
              <w:t>Risk of injur</w:t>
            </w:r>
            <w:r w:rsidR="007546F5">
              <w:t>ies</w:t>
            </w:r>
            <w:r>
              <w:t xml:space="preserve"> or illness</w:t>
            </w:r>
            <w:r w:rsidR="007546F5">
              <w:t>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764E67C" w:rsidR="00CE1AAA" w:rsidRDefault="007546F5">
            <w:r>
              <w:t>Event organisers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387AC99A" w:rsidR="00CE1AAA" w:rsidRPr="00957A37" w:rsidRDefault="007546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FC036E2" w:rsidR="00CE1AAA" w:rsidRPr="00957A37" w:rsidRDefault="007546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2C71B553" w:rsidR="00CE1AAA" w:rsidRPr="00957A37" w:rsidRDefault="007546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64947E53" w14:textId="77777777" w:rsidR="00CE1AAA" w:rsidRPr="007546F5" w:rsidRDefault="007546F5" w:rsidP="007546F5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Lead organiser to check weather conditions prior to event</w:t>
            </w:r>
          </w:p>
          <w:p w14:paraId="1CB01804" w14:textId="77777777" w:rsidR="007546F5" w:rsidRDefault="007546F5" w:rsidP="007546F5">
            <w:pPr>
              <w:pStyle w:val="ListParagraph"/>
              <w:numPr>
                <w:ilvl w:val="0"/>
                <w:numId w:val="46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Warn attendees to prepare appropriate clothing and footwear via social media</w:t>
            </w:r>
          </w:p>
          <w:p w14:paraId="3C5F0456" w14:textId="22AE8850" w:rsidR="007546F5" w:rsidRPr="007546F5" w:rsidRDefault="007546F5" w:rsidP="007546F5">
            <w:pPr>
              <w:rPr>
                <w:rFonts w:ascii="Lucida Sans" w:hAnsi="Lucida Sans"/>
                <w:bCs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67164CB7" w:rsidR="00CE1AAA" w:rsidRPr="00957A37" w:rsidRDefault="007546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D89EC35" w:rsidR="00CE1AAA" w:rsidRPr="00957A37" w:rsidRDefault="007546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0F37A465" w:rsidR="00CE1AAA" w:rsidRPr="00957A37" w:rsidRDefault="007546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2DADB0A6" w:rsidR="00CE1AAA" w:rsidRDefault="007546F5">
            <w:r>
              <w:t>If adverse weather should continue throughout the day and into the evening, event should be cancelled or postponed to a later date.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549848C" w:rsidR="00CE1AAA" w:rsidRDefault="00843F6C">
            <w:r>
              <w:t>Covid-19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10012F49" w:rsidR="00CE1AAA" w:rsidRDefault="00843F6C">
            <w:r>
              <w:t>Contraction of Covid-19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04A5223D" w:rsidR="00CE1AAA" w:rsidRDefault="00843F6C">
            <w:r>
              <w:t>Event organisers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E1F3681" w:rsidR="00CE1AAA" w:rsidRPr="00957A37" w:rsidRDefault="00843F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1E7AE37C" w:rsidR="00CE1AAA" w:rsidRPr="00957A37" w:rsidRDefault="00843F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F49E8F7" w:rsidR="00CE1AAA" w:rsidRPr="00957A37" w:rsidRDefault="00843F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175C6C4A" w:rsidR="00CE1AAA" w:rsidRPr="003E7513" w:rsidRDefault="003E7513" w:rsidP="003E7513">
            <w:pPr>
              <w:pStyle w:val="ListParagraph"/>
              <w:numPr>
                <w:ilvl w:val="0"/>
                <w:numId w:val="48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Attendees will be told to not attend if they show covid-19 symptoms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733AE33" w:rsidR="00CE1AAA" w:rsidRPr="00957A37" w:rsidRDefault="009C74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74AEAF7E" w:rsidR="00CE1AAA" w:rsidRPr="00957A37" w:rsidRDefault="009C74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C8F7439" w:rsidR="00CE1AAA" w:rsidRPr="00957A37" w:rsidRDefault="009C74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32C5F963" w:rsidR="00CE1AAA" w:rsidRDefault="00CB05E6">
            <w:r>
              <w:t>No further controls, attendees are responsible their own wellbeing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60740B6B" w:rsidR="00CE1AAA" w:rsidRDefault="008F5657">
            <w:r>
              <w:lastRenderedPageBreak/>
              <w:t>Costumes/Fancy Dress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7BB0A755" w:rsidR="00CE1AAA" w:rsidRDefault="008F5657">
            <w:r>
              <w:t>Props/costumes causing injury or offence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217CF287" w:rsidR="00CE1AAA" w:rsidRDefault="00655A2E">
            <w:r>
              <w:t>Event attendees, 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4A1A2A9B" w:rsidR="00CE1AAA" w:rsidRPr="00957A37" w:rsidRDefault="00655A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0330541" w:rsidR="00CE1AAA" w:rsidRPr="00957A37" w:rsidRDefault="00655A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3B856FEA" w:rsidR="00CE1AAA" w:rsidRPr="00957A37" w:rsidRDefault="00655A2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0ECA50BF" w14:textId="77777777" w:rsidR="00CE1AAA" w:rsidRDefault="00655A2E" w:rsidP="00655A2E">
            <w:pPr>
              <w:pStyle w:val="ListParagraph"/>
              <w:numPr>
                <w:ilvl w:val="0"/>
                <w:numId w:val="48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Members are responsible for their own possessions and use of them</w:t>
            </w:r>
          </w:p>
          <w:p w14:paraId="73FCFEC3" w14:textId="77777777" w:rsidR="00655A2E" w:rsidRDefault="00655A2E" w:rsidP="00655A2E">
            <w:pPr>
              <w:pStyle w:val="ListParagraph"/>
              <w:numPr>
                <w:ilvl w:val="0"/>
                <w:numId w:val="48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No specific theme for this event (unlikely to cause offence). Any participant wearing items deemed offensive will be asked to remove them.</w:t>
            </w:r>
          </w:p>
          <w:p w14:paraId="3C5F046E" w14:textId="030EEB17" w:rsidR="006B7BC4" w:rsidRPr="00655A2E" w:rsidRDefault="006B7BC4" w:rsidP="00655A2E">
            <w:pPr>
              <w:pStyle w:val="ListParagraph"/>
              <w:numPr>
                <w:ilvl w:val="0"/>
                <w:numId w:val="48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Society to follow and share with members the Code of Conduct/SUSU </w:t>
            </w:r>
            <w:hyperlink r:id="rId15" w:history="1">
              <w:r w:rsidRPr="006B7BC4">
                <w:rPr>
                  <w:rStyle w:val="Hyperlink"/>
                  <w:rFonts w:ascii="Lucida Sans" w:hAnsi="Lucida Sans"/>
                  <w:u w:val="none"/>
                </w:rPr>
                <w:t>Expect Respect policy</w:t>
              </w:r>
            </w:hyperlink>
          </w:p>
        </w:tc>
        <w:tc>
          <w:tcPr>
            <w:tcW w:w="121" w:type="pct"/>
            <w:shd w:val="clear" w:color="auto" w:fill="FFFFFF" w:themeFill="background1"/>
          </w:tcPr>
          <w:p w14:paraId="3C5F046F" w14:textId="6E5D9084" w:rsidR="00CE1AAA" w:rsidRPr="00957A37" w:rsidRDefault="006B7B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167E1CE2" w:rsidR="00CE1AAA" w:rsidRPr="00957A37" w:rsidRDefault="006B7B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7F26B721" w:rsidR="00CE1AAA" w:rsidRPr="00957A37" w:rsidRDefault="006B7B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49229F0F" w:rsidR="00CE1AAA" w:rsidRDefault="006B7BC4">
            <w:r>
              <w:t xml:space="preserve">SUSU </w:t>
            </w:r>
            <w:hyperlink r:id="rId16" w:history="1">
              <w:r w:rsidRPr="00BB37B8">
                <w:rPr>
                  <w:rStyle w:val="Hyperlink"/>
                  <w:u w:val="none"/>
                </w:rPr>
                <w:t>Expect Respect policy</w:t>
              </w:r>
            </w:hyperlink>
            <w:r>
              <w:rPr>
                <w:rStyle w:val="Hyperlink"/>
                <w:u w:val="none"/>
              </w:rPr>
              <w:t xml:space="preserve"> </w:t>
            </w:r>
            <w:r>
              <w:t>to be followed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1CD902C7" w:rsidR="00CE1AAA" w:rsidRDefault="006B7BC4">
            <w:r>
              <w:t>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5F574573" w:rsidR="00CE1AAA" w:rsidRDefault="006B7BC4">
            <w:r>
              <w:t>Allergic reactions to food and drinks consumed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79BE6160" w:rsidR="00CE1AAA" w:rsidRDefault="006B7BC4">
            <w:r>
              <w:t>Event organisers, event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17AA8867" w:rsidR="00CE1AAA" w:rsidRPr="00957A37" w:rsidRDefault="006B7B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043F99E2" w:rsidR="00CE1AAA" w:rsidRPr="00957A37" w:rsidRDefault="006B7B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16FF2B00" w:rsidR="00CE1AAA" w:rsidRPr="00957A37" w:rsidRDefault="006B7B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7F5CD260" w14:textId="344E15A9" w:rsidR="006B7BC4" w:rsidRDefault="006B7BC4" w:rsidP="006B7BC4">
            <w:pPr>
              <w:pStyle w:val="ListParagraph"/>
              <w:numPr>
                <w:ilvl w:val="0"/>
                <w:numId w:val="4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Possible allergies for attendees were taken note of through use of google forms</w:t>
            </w:r>
          </w:p>
          <w:p w14:paraId="3C5F047A" w14:textId="61E09263" w:rsidR="00CE1AAA" w:rsidRPr="006B7BC4" w:rsidRDefault="006B7BC4" w:rsidP="006B7BC4">
            <w:pPr>
              <w:pStyle w:val="ListParagraph"/>
              <w:numPr>
                <w:ilvl w:val="0"/>
                <w:numId w:val="4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Attendees are responsible for their own welfare in such instances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32A1C16C" w:rsidR="00CE1AAA" w:rsidRPr="00957A37" w:rsidRDefault="006B7B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02861B96" w:rsidR="00CE1AAA" w:rsidRPr="00957A37" w:rsidRDefault="006B7B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6DDD0AAD" w:rsidR="00CE1AAA" w:rsidRPr="00957A37" w:rsidRDefault="006B7BC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1841D149" w:rsidR="00CE1AAA" w:rsidRDefault="006B7BC4">
            <w:r>
              <w:t>Call emergency services and alert committee members as well as available staff members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1"/>
        <w:gridCol w:w="1903"/>
        <w:gridCol w:w="1269"/>
        <w:gridCol w:w="1269"/>
        <w:gridCol w:w="4162"/>
        <w:gridCol w:w="143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24DDBAF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 to ensure they have shared and read Expect respect policy with members</w:t>
            </w:r>
          </w:p>
        </w:tc>
        <w:tc>
          <w:tcPr>
            <w:tcW w:w="602" w:type="pct"/>
          </w:tcPr>
          <w:p w14:paraId="3C5F048F" w14:textId="2281CDE9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0" w14:textId="1B0063F2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25/11/22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177B1C8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27/11/22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1E8EEC72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major incidents will be logged with SUSU the following day</w:t>
            </w:r>
          </w:p>
        </w:tc>
        <w:tc>
          <w:tcPr>
            <w:tcW w:w="602" w:type="pct"/>
          </w:tcPr>
          <w:p w14:paraId="3C5F0496" w14:textId="7332ECB2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7" w14:textId="560F23CA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27/11/22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C294395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28/11/22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2A8A38E3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Weather check prior to the event</w:t>
            </w:r>
          </w:p>
        </w:tc>
        <w:tc>
          <w:tcPr>
            <w:tcW w:w="602" w:type="pct"/>
          </w:tcPr>
          <w:p w14:paraId="3C5F049D" w14:textId="0A440489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E" w14:textId="0AAB59EF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26/11/22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1574F2F4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28/11/22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52D4A550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 will remind attendees to give notice if experiencing/developed covid-19 symptoms before/after the event</w:t>
            </w:r>
          </w:p>
        </w:tc>
        <w:tc>
          <w:tcPr>
            <w:tcW w:w="602" w:type="pct"/>
          </w:tcPr>
          <w:p w14:paraId="3C5F04A4" w14:textId="1AD1E14B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A5" w14:textId="267D4D45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26/11/22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42C331D0" w:rsidR="00C642F4" w:rsidRPr="00957A37" w:rsidRDefault="00976E9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27/11/22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1E4CD025" w:rsidR="00C642F4" w:rsidRPr="00957A37" w:rsidRDefault="001F34B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336BD363" wp14:editId="72DDC443">
                  <wp:simplePos x="0" y="0"/>
                  <wp:positionH relativeFrom="column">
                    <wp:posOffset>2437570</wp:posOffset>
                  </wp:positionH>
                  <wp:positionV relativeFrom="paragraph">
                    <wp:posOffset>50800</wp:posOffset>
                  </wp:positionV>
                  <wp:extent cx="720090" cy="525145"/>
                  <wp:effectExtent l="0" t="0" r="3810" b="0"/>
                  <wp:wrapTight wrapText="bothSides">
                    <wp:wrapPolygon edited="0">
                      <wp:start x="0" y="0"/>
                      <wp:lineTo x="0" y="20895"/>
                      <wp:lineTo x="21333" y="20895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</w:p>
          <w:p w14:paraId="3C5F04C0" w14:textId="17AC218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74EA6F5" w:rsidR="00C642F4" w:rsidRPr="00957A37" w:rsidRDefault="00E8041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4089317" wp14:editId="72DEBC52">
                  <wp:simplePos x="0" y="0"/>
                  <wp:positionH relativeFrom="column">
                    <wp:posOffset>2431708</wp:posOffset>
                  </wp:positionH>
                  <wp:positionV relativeFrom="paragraph">
                    <wp:posOffset>52753</wp:posOffset>
                  </wp:positionV>
                  <wp:extent cx="492125" cy="353695"/>
                  <wp:effectExtent l="0" t="0" r="3175" b="1905"/>
                  <wp:wrapTight wrapText="bothSides">
                    <wp:wrapPolygon edited="0">
                      <wp:start x="0" y="0"/>
                      <wp:lineTo x="0" y="20941"/>
                      <wp:lineTo x="21182" y="20941"/>
                      <wp:lineTo x="21182" y="0"/>
                      <wp:lineTo x="0" y="0"/>
                    </wp:wrapPolygon>
                  </wp:wrapTight>
                  <wp:docPr id="2" name="Picture 2" descr="A picture containing earphone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earphone, neckle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76E9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4C130C0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40B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Emmy Wing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1D5B41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40B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23/11/22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356F35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40B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Silvia Siew Ling Kho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E59B69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40B1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23/11/22</w:t>
            </w:r>
          </w:p>
        </w:tc>
      </w:tr>
    </w:tbl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4"/>
      <w:footerReference w:type="default" r:id="rId2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341A" w14:textId="77777777" w:rsidR="000778A3" w:rsidRDefault="000778A3" w:rsidP="00AC47B4">
      <w:pPr>
        <w:spacing w:after="0" w:line="240" w:lineRule="auto"/>
      </w:pPr>
      <w:r>
        <w:separator/>
      </w:r>
    </w:p>
  </w:endnote>
  <w:endnote w:type="continuationSeparator" w:id="0">
    <w:p w14:paraId="25B53322" w14:textId="77777777" w:rsidR="000778A3" w:rsidRDefault="000778A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4B82" w14:textId="77777777" w:rsidR="000778A3" w:rsidRDefault="000778A3" w:rsidP="00AC47B4">
      <w:pPr>
        <w:spacing w:after="0" w:line="240" w:lineRule="auto"/>
      </w:pPr>
      <w:r>
        <w:separator/>
      </w:r>
    </w:p>
  </w:footnote>
  <w:footnote w:type="continuationSeparator" w:id="0">
    <w:p w14:paraId="49179A16" w14:textId="77777777" w:rsidR="000778A3" w:rsidRDefault="000778A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387"/>
    <w:multiLevelType w:val="hybridMultilevel"/>
    <w:tmpl w:val="EA58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9C5C4B"/>
    <w:multiLevelType w:val="hybridMultilevel"/>
    <w:tmpl w:val="7E40D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B25AB"/>
    <w:multiLevelType w:val="hybridMultilevel"/>
    <w:tmpl w:val="B874C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4032E6"/>
    <w:multiLevelType w:val="hybridMultilevel"/>
    <w:tmpl w:val="9EC6B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F445A"/>
    <w:multiLevelType w:val="hybridMultilevel"/>
    <w:tmpl w:val="768C7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405E8"/>
    <w:multiLevelType w:val="hybridMultilevel"/>
    <w:tmpl w:val="8CDC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C733B"/>
    <w:multiLevelType w:val="hybridMultilevel"/>
    <w:tmpl w:val="CA223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22AFB"/>
    <w:multiLevelType w:val="hybridMultilevel"/>
    <w:tmpl w:val="2B7E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21185"/>
    <w:multiLevelType w:val="hybridMultilevel"/>
    <w:tmpl w:val="9B1C2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99547">
    <w:abstractNumId w:val="38"/>
  </w:num>
  <w:num w:numId="2" w16cid:durableId="1849176392">
    <w:abstractNumId w:val="14"/>
  </w:num>
  <w:num w:numId="3" w16cid:durableId="74087466">
    <w:abstractNumId w:val="8"/>
  </w:num>
  <w:num w:numId="4" w16cid:durableId="2002731469">
    <w:abstractNumId w:val="18"/>
  </w:num>
  <w:num w:numId="5" w16cid:durableId="890924504">
    <w:abstractNumId w:val="19"/>
  </w:num>
  <w:num w:numId="6" w16cid:durableId="786706026">
    <w:abstractNumId w:val="41"/>
  </w:num>
  <w:num w:numId="7" w16cid:durableId="264073731">
    <w:abstractNumId w:val="25"/>
  </w:num>
  <w:num w:numId="8" w16cid:durableId="1436099298">
    <w:abstractNumId w:val="24"/>
  </w:num>
  <w:num w:numId="9" w16cid:durableId="1046488617">
    <w:abstractNumId w:val="31"/>
  </w:num>
  <w:num w:numId="10" w16cid:durableId="375785478">
    <w:abstractNumId w:val="20"/>
  </w:num>
  <w:num w:numId="11" w16cid:durableId="1270889035">
    <w:abstractNumId w:val="27"/>
  </w:num>
  <w:num w:numId="12" w16cid:durableId="279848417">
    <w:abstractNumId w:val="44"/>
  </w:num>
  <w:num w:numId="13" w16cid:durableId="738333550">
    <w:abstractNumId w:val="26"/>
  </w:num>
  <w:num w:numId="14" w16cid:durableId="910038091">
    <w:abstractNumId w:val="43"/>
  </w:num>
  <w:num w:numId="15" w16cid:durableId="17783694">
    <w:abstractNumId w:val="2"/>
  </w:num>
  <w:num w:numId="16" w16cid:durableId="707491404">
    <w:abstractNumId w:val="28"/>
  </w:num>
  <w:num w:numId="17" w16cid:durableId="91705403">
    <w:abstractNumId w:val="15"/>
  </w:num>
  <w:num w:numId="18" w16cid:durableId="234511024">
    <w:abstractNumId w:val="4"/>
  </w:num>
  <w:num w:numId="19" w16cid:durableId="1517965162">
    <w:abstractNumId w:val="23"/>
  </w:num>
  <w:num w:numId="20" w16cid:durableId="461074377">
    <w:abstractNumId w:val="36"/>
  </w:num>
  <w:num w:numId="21" w16cid:durableId="1729955216">
    <w:abstractNumId w:val="7"/>
  </w:num>
  <w:num w:numId="22" w16cid:durableId="124277122">
    <w:abstractNumId w:val="22"/>
  </w:num>
  <w:num w:numId="23" w16cid:durableId="35782852">
    <w:abstractNumId w:val="37"/>
  </w:num>
  <w:num w:numId="24" w16cid:durableId="870917953">
    <w:abstractNumId w:val="34"/>
  </w:num>
  <w:num w:numId="25" w16cid:durableId="233055040">
    <w:abstractNumId w:val="12"/>
  </w:num>
  <w:num w:numId="26" w16cid:durableId="1565288718">
    <w:abstractNumId w:val="35"/>
  </w:num>
  <w:num w:numId="27" w16cid:durableId="812254094">
    <w:abstractNumId w:val="5"/>
  </w:num>
  <w:num w:numId="28" w16cid:durableId="1004748665">
    <w:abstractNumId w:val="6"/>
  </w:num>
  <w:num w:numId="29" w16cid:durableId="1884052840">
    <w:abstractNumId w:val="30"/>
  </w:num>
  <w:num w:numId="30" w16cid:durableId="1003045861">
    <w:abstractNumId w:val="3"/>
  </w:num>
  <w:num w:numId="31" w16cid:durableId="1627391912">
    <w:abstractNumId w:val="29"/>
  </w:num>
  <w:num w:numId="32" w16cid:durableId="788159817">
    <w:abstractNumId w:val="32"/>
  </w:num>
  <w:num w:numId="33" w16cid:durableId="189339755">
    <w:abstractNumId w:val="39"/>
  </w:num>
  <w:num w:numId="34" w16cid:durableId="1989477392">
    <w:abstractNumId w:val="0"/>
  </w:num>
  <w:num w:numId="35" w16cid:durableId="905262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3314536">
    <w:abstractNumId w:val="21"/>
  </w:num>
  <w:num w:numId="37" w16cid:durableId="2046169694">
    <w:abstractNumId w:val="47"/>
  </w:num>
  <w:num w:numId="38" w16cid:durableId="1766262139">
    <w:abstractNumId w:val="45"/>
  </w:num>
  <w:num w:numId="39" w16cid:durableId="1286160772">
    <w:abstractNumId w:val="13"/>
  </w:num>
  <w:num w:numId="40" w16cid:durableId="676347030">
    <w:abstractNumId w:val="10"/>
  </w:num>
  <w:num w:numId="41" w16cid:durableId="1879849993">
    <w:abstractNumId w:val="16"/>
  </w:num>
  <w:num w:numId="42" w16cid:durableId="356396908">
    <w:abstractNumId w:val="1"/>
  </w:num>
  <w:num w:numId="43" w16cid:durableId="599068980">
    <w:abstractNumId w:val="42"/>
  </w:num>
  <w:num w:numId="44" w16cid:durableId="603923460">
    <w:abstractNumId w:val="33"/>
  </w:num>
  <w:num w:numId="45" w16cid:durableId="257374110">
    <w:abstractNumId w:val="40"/>
  </w:num>
  <w:num w:numId="46" w16cid:durableId="1962687842">
    <w:abstractNumId w:val="9"/>
  </w:num>
  <w:num w:numId="47" w16cid:durableId="721951549">
    <w:abstractNumId w:val="17"/>
  </w:num>
  <w:num w:numId="48" w16cid:durableId="1048263579">
    <w:abstractNumId w:val="46"/>
  </w:num>
  <w:num w:numId="49" w16cid:durableId="101318888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78A3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7D8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34B7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E7513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312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3029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55A2E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B7BC4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6CC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46F5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4C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3F6C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777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5657"/>
    <w:rsid w:val="009117F1"/>
    <w:rsid w:val="00913DC1"/>
    <w:rsid w:val="00913F4B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6E99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C74FF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4A8E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3460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05E6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1EFD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B17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041B"/>
    <w:rsid w:val="00E8309E"/>
    <w:rsid w:val="00E84519"/>
    <w:rsid w:val="00E86032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4A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image" Target="media/image1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downloads/SUSU-Expect-Respect-Policy.pdf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downloads/SUSU-Expect-Respect-Policy.pdf" TargetMode="External"/><Relationship Id="rId23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Silvia Kho (sslk1e21)</cp:lastModifiedBy>
  <cp:revision>15</cp:revision>
  <cp:lastPrinted>2016-04-18T12:10:00Z</cp:lastPrinted>
  <dcterms:created xsi:type="dcterms:W3CDTF">2022-11-22T21:45:00Z</dcterms:created>
  <dcterms:modified xsi:type="dcterms:W3CDTF">2022-11-23T16:29:00Z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