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6"/>
        <w:gridCol w:w="5336"/>
        <w:gridCol w:w="2899"/>
        <w:gridCol w:w="1057"/>
        <w:gridCol w:w="2237"/>
      </w:tblGrid>
      <w:tr w:rsidR="00D54427" w14:paraId="4FD98980" w14:textId="77777777" w:rsidTr="00D54427">
        <w:trPr>
          <w:trHeight w:val="509"/>
        </w:trPr>
        <w:tc>
          <w:tcPr>
            <w:tcW w:w="15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F95C5FF" w14:textId="77777777" w:rsidR="00D54427" w:rsidRDefault="00D54427" w:rsidP="00334354">
            <w:pPr>
              <w:widowControl w:val="0"/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D54427" w14:paraId="0DB8BBE3" w14:textId="77777777" w:rsidTr="00D54427">
        <w:trPr>
          <w:trHeight w:val="117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060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0AA7" w14:textId="77777777" w:rsidR="00D54427" w:rsidRDefault="00D54427" w:rsidP="00334354">
            <w:pPr>
              <w:widowControl w:val="0"/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GameSoc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Risk Assessment: RABIES BBQ</w:t>
            </w:r>
          </w:p>
          <w:p w14:paraId="1BBE721A" w14:textId="6445E5BF" w:rsidR="00D54427" w:rsidRPr="00214F4F" w:rsidRDefault="00D54427" w:rsidP="00334354">
            <w:pPr>
              <w:widowControl w:val="0"/>
              <w:spacing w:after="0" w:line="240" w:lineRule="auto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>Our annual BBQ social on Southampton Common (</w:t>
            </w:r>
            <w:r w:rsidR="00703C74">
              <w:rPr>
                <w:rFonts w:ascii="Verdana" w:eastAsia="Verdana" w:hAnsi="Verdana" w:cs="Verdana"/>
                <w:i/>
              </w:rPr>
              <w:t>13</w:t>
            </w:r>
            <w:r>
              <w:rPr>
                <w:rFonts w:ascii="Verdana" w:eastAsia="Verdana" w:hAnsi="Verdana" w:cs="Verdana"/>
                <w:i/>
              </w:rPr>
              <w:t>/06/202</w:t>
            </w:r>
            <w:r w:rsidR="000F3854">
              <w:rPr>
                <w:rFonts w:ascii="Verdana" w:eastAsia="Verdana" w:hAnsi="Verdana" w:cs="Verdana"/>
                <w:i/>
              </w:rPr>
              <w:t>6</w:t>
            </w:r>
            <w:r>
              <w:rPr>
                <w:rFonts w:ascii="Verdana" w:eastAsia="Verdana" w:hAnsi="Verdana" w:cs="Verdana"/>
                <w:i/>
              </w:rPr>
              <w:t>). Approxim</w:t>
            </w:r>
            <w:r w:rsidRPr="005B227A">
              <w:rPr>
                <w:rFonts w:ascii="Verdana" w:eastAsia="Verdana" w:hAnsi="Verdana" w:cs="Verdana"/>
                <w:i/>
                <w:color w:val="000000" w:themeColor="text1"/>
              </w:rPr>
              <w:t xml:space="preserve">ately </w:t>
            </w:r>
            <w:r w:rsidR="005B227A" w:rsidRPr="005B227A">
              <w:rPr>
                <w:rFonts w:ascii="Verdana" w:eastAsia="Verdana" w:hAnsi="Verdana" w:cs="Verdana"/>
                <w:i/>
                <w:color w:val="000000" w:themeColor="text1"/>
              </w:rPr>
              <w:t>50</w:t>
            </w:r>
            <w:r w:rsidR="000F3854" w:rsidRPr="005B227A">
              <w:rPr>
                <w:rFonts w:ascii="Verdana" w:eastAsia="Verdana" w:hAnsi="Verdana" w:cs="Verdana"/>
                <w:i/>
                <w:color w:val="000000" w:themeColor="text1"/>
              </w:rPr>
              <w:t xml:space="preserve"> </w:t>
            </w:r>
            <w:r w:rsidRPr="005B227A">
              <w:rPr>
                <w:rFonts w:ascii="Verdana" w:eastAsia="Verdana" w:hAnsi="Verdana" w:cs="Verdana"/>
                <w:i/>
                <w:color w:val="000000" w:themeColor="text1"/>
              </w:rPr>
              <w:t xml:space="preserve">participants </w:t>
            </w:r>
            <w:r>
              <w:rPr>
                <w:rFonts w:ascii="Verdana" w:eastAsia="Verdana" w:hAnsi="Verdana" w:cs="Verdana"/>
                <w:i/>
              </w:rPr>
              <w:t>will be in attendance. Games and activities will occur, alongside our BBQ.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338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68E3" w14:textId="2C61F37A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1</w:t>
            </w:r>
            <w:r w:rsidR="005B227A">
              <w:rPr>
                <w:rFonts w:ascii="Verdana" w:eastAsia="Verdana" w:hAnsi="Verdana" w:cs="Verdana"/>
                <w:b/>
              </w:rPr>
              <w:t>4</w:t>
            </w:r>
            <w:r w:rsidRPr="008D48D6">
              <w:rPr>
                <w:rFonts w:ascii="Verdana" w:eastAsia="Verdana" w:hAnsi="Verdana" w:cs="Verdana"/>
                <w:b/>
              </w:rPr>
              <w:t>/</w:t>
            </w:r>
            <w:r>
              <w:rPr>
                <w:rFonts w:ascii="Verdana" w:eastAsia="Verdana" w:hAnsi="Verdana" w:cs="Verdana"/>
                <w:b/>
              </w:rPr>
              <w:t>05</w:t>
            </w:r>
            <w:r w:rsidRPr="008D48D6">
              <w:rPr>
                <w:rFonts w:ascii="Verdana" w:eastAsia="Verdana" w:hAnsi="Verdana" w:cs="Verdana"/>
                <w:b/>
              </w:rPr>
              <w:t>/202</w:t>
            </w:r>
            <w:r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D54427" w14:paraId="4E49CEC8" w14:textId="77777777" w:rsidTr="00D54427">
        <w:trPr>
          <w:trHeight w:val="585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AAC4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6A1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proofErr w:type="spellStart"/>
            <w:r w:rsidRPr="008D48D6">
              <w:rPr>
                <w:rFonts w:ascii="Verdana" w:eastAsia="Verdana" w:hAnsi="Verdana" w:cs="Verdana"/>
                <w:b/>
              </w:rPr>
              <w:t>GameSoc</w:t>
            </w:r>
            <w:proofErr w:type="spell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586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3CB" w14:textId="77777777" w:rsidR="00D54427" w:rsidRDefault="00D54427" w:rsidP="00334354">
            <w:pPr>
              <w:widowControl w:val="0"/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Beth Gates</w:t>
            </w:r>
          </w:p>
          <w:p w14:paraId="78F0F090" w14:textId="400F8121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(bg1g25)</w:t>
            </w:r>
          </w:p>
        </w:tc>
      </w:tr>
      <w:tr w:rsidR="00D54427" w14:paraId="5A272D6B" w14:textId="77777777" w:rsidTr="00D54427">
        <w:trPr>
          <w:trHeight w:val="29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9BE9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F788" w14:textId="77777777" w:rsidR="00D54427" w:rsidRDefault="00D54427" w:rsidP="00334354">
            <w:pPr>
              <w:widowControl w:val="0"/>
              <w:spacing w:after="0" w:line="240" w:lineRule="auto"/>
              <w:ind w:left="170"/>
              <w:rPr>
                <w:iCs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1DF5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27A0" w14:textId="77777777" w:rsidR="00D54427" w:rsidRDefault="00D54427" w:rsidP="00334354">
            <w:pPr>
              <w:widowControl w:val="0"/>
              <w:spacing w:after="0" w:line="240" w:lineRule="auto"/>
              <w:ind w:left="170"/>
            </w:pPr>
          </w:p>
        </w:tc>
      </w:tr>
    </w:tbl>
    <w:p w14:paraId="73550460" w14:textId="77777777" w:rsidR="00D54427" w:rsidRDefault="00D54427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67"/>
        <w:gridCol w:w="489"/>
        <w:gridCol w:w="489"/>
        <w:gridCol w:w="499"/>
        <w:gridCol w:w="3038"/>
        <w:gridCol w:w="489"/>
        <w:gridCol w:w="489"/>
        <w:gridCol w:w="489"/>
        <w:gridCol w:w="2976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4C4815">
        <w:trPr>
          <w:tblHeader/>
        </w:trPr>
        <w:tc>
          <w:tcPr>
            <w:tcW w:w="208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4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4C4815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9" w:type="pct"/>
            <w:vMerge w:val="restart"/>
            <w:shd w:val="clear" w:color="auto" w:fill="F2F2F2" w:themeFill="background1" w:themeFillShade="F2"/>
          </w:tcPr>
          <w:p w14:paraId="3C5F0418" w14:textId="34FDCF73" w:rsidR="00CE1AAA" w:rsidRPr="00957A37" w:rsidRDefault="00CE1AAA" w:rsidP="00672E6C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r w:rsidR="00372DC4" w:rsidRPr="00957A37">
              <w:rPr>
                <w:rFonts w:ascii="Lucida Sans" w:hAnsi="Lucida Sans"/>
                <w:b/>
              </w:rPr>
              <w:t>harmed?</w:t>
            </w:r>
          </w:p>
          <w:p w14:paraId="3C5F041A" w14:textId="26C74664" w:rsidR="00CE1AAA" w:rsidRPr="009D4824" w:rsidRDefault="00CE1AAA" w:rsidP="009D4824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4C4815">
        <w:trPr>
          <w:cantSplit/>
          <w:trHeight w:val="1510"/>
          <w:tblHeader/>
        </w:trPr>
        <w:tc>
          <w:tcPr>
            <w:tcW w:w="565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85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39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7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4C4815">
        <w:trPr>
          <w:cantSplit/>
          <w:trHeight w:val="1017"/>
        </w:trPr>
        <w:tc>
          <w:tcPr>
            <w:tcW w:w="565" w:type="pct"/>
            <w:shd w:val="clear" w:color="auto" w:fill="FFFFFF" w:themeFill="background1"/>
          </w:tcPr>
          <w:p w14:paraId="3C5F042C" w14:textId="231CDA63" w:rsidR="00CE1AAA" w:rsidRDefault="00894520">
            <w:r>
              <w:t>Barbeque</w:t>
            </w:r>
            <w:r w:rsidR="00C16B30">
              <w:t xml:space="preserve"> cooker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2D" w14:textId="76CB192A" w:rsidR="0070519D" w:rsidRDefault="00DB52FB">
            <w:r>
              <w:t>Starting a fire</w:t>
            </w:r>
            <w:r w:rsidR="00C16B30">
              <w:t>, operator getting burned</w:t>
            </w:r>
            <w:r w:rsidR="0070519D">
              <w:t>.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2E" w14:textId="24C76262" w:rsidR="00CE1AAA" w:rsidRDefault="00DB52FB">
            <w:r>
              <w:t>Person cooking on the barbeque, any nearby people.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6D30A8CD" w:rsidR="00CE1AAA" w:rsidRPr="00957A37" w:rsidRDefault="00C16B3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5DE473F4" w:rsidR="00CE1AAA" w:rsidRPr="00957A37" w:rsidRDefault="003D66D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14607C28" w:rsidR="00CE1AAA" w:rsidRPr="00372DC4" w:rsidRDefault="008D115B" w:rsidP="00CE1AA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7A11FC0C" w14:textId="77777777" w:rsidR="0070519D" w:rsidRDefault="00C16B30">
            <w:r>
              <w:t>Keep barbeque 15m from trees</w:t>
            </w:r>
            <w:r w:rsidR="00DB52FB">
              <w:t>, and ensure the barbeque is kept off of the ground</w:t>
            </w:r>
            <w:r>
              <w:t xml:space="preserve">. Use </w:t>
            </w:r>
            <w:r w:rsidR="009D4824">
              <w:t>t</w:t>
            </w:r>
            <w:r>
              <w:t xml:space="preserve">ongs and spatulas </w:t>
            </w:r>
            <w:r w:rsidR="003D66DE">
              <w:t>reduce risk of burns.</w:t>
            </w:r>
          </w:p>
          <w:p w14:paraId="41ED40FA" w14:textId="77777777" w:rsidR="008D115B" w:rsidRDefault="008D115B"/>
          <w:p w14:paraId="40D14EAD" w14:textId="77777777" w:rsidR="008D115B" w:rsidRDefault="008D115B">
            <w:r>
              <w:t xml:space="preserve">We will ensure that water or another means of extinguishing fire is always on hand to prevent starting a fire. </w:t>
            </w:r>
          </w:p>
          <w:p w14:paraId="3C5F0432" w14:textId="16BD0D24" w:rsidR="008D115B" w:rsidRPr="00041E94" w:rsidRDefault="008D115B"/>
        </w:tc>
        <w:tc>
          <w:tcPr>
            <w:tcW w:w="159" w:type="pct"/>
            <w:shd w:val="clear" w:color="auto" w:fill="FFFFFF" w:themeFill="background1"/>
          </w:tcPr>
          <w:p w14:paraId="3C5F0433" w14:textId="188413B0" w:rsidR="00CE1AAA" w:rsidRPr="00957A37" w:rsidRDefault="00C16B3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0D8D306" w:rsidR="00CE1AAA" w:rsidRPr="00957A37" w:rsidRDefault="00DB52F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1DF3E8AA" w:rsidR="00CE1AAA" w:rsidRPr="00957A37" w:rsidRDefault="00DB52F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</w:tcPr>
          <w:p w14:paraId="14D7ECD1" w14:textId="77777777" w:rsidR="00CE1AAA" w:rsidRDefault="006A2401">
            <w:r>
              <w:t xml:space="preserve">Keep </w:t>
            </w:r>
            <w:r w:rsidR="00DB52FB">
              <w:t>water nearby to extinguish the fire and cool burns if any happen, ensure some form of first-aid is available.</w:t>
            </w:r>
            <w:r w:rsidR="0087389E">
              <w:t xml:space="preserve"> In the event of a severe burn, be able to contact emergency services.</w:t>
            </w:r>
          </w:p>
          <w:p w14:paraId="615F52C4" w14:textId="77777777" w:rsidR="003D66DE" w:rsidRDefault="003D66DE"/>
          <w:p w14:paraId="3C5F0436" w14:textId="5DDCE37D" w:rsidR="003D66DE" w:rsidRDefault="00E81CB2">
            <w:r>
              <w:rPr>
                <w:rFonts w:eastAsia="Calibri" w:cs="Calibri"/>
                <w:color w:val="000000"/>
              </w:rPr>
              <w:t>All incidents are to be reported on the as soon as possible ensuring the health and safety officer ha</w:t>
            </w:r>
            <w:r w:rsidR="00146ACB">
              <w:rPr>
                <w:rFonts w:eastAsia="Calibri" w:cs="Calibri"/>
                <w:color w:val="000000"/>
              </w:rPr>
              <w:t>s</w:t>
            </w:r>
            <w:r>
              <w:rPr>
                <w:rFonts w:eastAsia="Calibri" w:cs="Calibri"/>
                <w:color w:val="000000"/>
              </w:rPr>
              <w:t xml:space="preserve"> been informed. Follow </w:t>
            </w:r>
            <w:hyperlink r:id="rId11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CE1AAA" w14:paraId="3C5F0443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7F330A01" w:rsidR="00CE1AAA" w:rsidRDefault="009D4824">
            <w:r>
              <w:lastRenderedPageBreak/>
              <w:t>Raw meat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39" w14:textId="73AA2D0E" w:rsidR="00CE1AAA" w:rsidRDefault="009D4824">
            <w:r>
              <w:t>Food poisoning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3A" w14:textId="18F424C8" w:rsidR="00CE1AAA" w:rsidRDefault="00372DC4">
            <w:r>
              <w:t>Attendants to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0C67F8D3" w:rsidR="00CE1AAA" w:rsidRPr="00957A37" w:rsidRDefault="00DB52F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2C0AC8C8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13AEF1B4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574B1513" w14:textId="77777777" w:rsidR="00CE1AAA" w:rsidRDefault="00372DC4">
            <w:r w:rsidRPr="00372DC4">
              <w:t>Ensure all food</w:t>
            </w:r>
            <w:r w:rsidR="00A3089C">
              <w:t>, especially chicken,</w:t>
            </w:r>
            <w:r w:rsidRPr="00372DC4">
              <w:t xml:space="preserve"> is cooked all the way through and </w:t>
            </w:r>
            <w:r w:rsidR="00A3089C">
              <w:t>raw food are kept separate from other food</w:t>
            </w:r>
            <w:r w:rsidR="00672E6C">
              <w:t xml:space="preserve"> </w:t>
            </w:r>
            <w:r w:rsidR="00A3089C">
              <w:t>(i</w:t>
            </w:r>
            <w:r w:rsidR="00DB52FB">
              <w:t>.</w:t>
            </w:r>
            <w:r w:rsidR="00A3089C">
              <w:t>e</w:t>
            </w:r>
            <w:r w:rsidR="00DB52FB">
              <w:t>.</w:t>
            </w:r>
            <w:r w:rsidR="00A3089C">
              <w:t xml:space="preserve"> vegetables)</w:t>
            </w:r>
          </w:p>
          <w:p w14:paraId="1CCCD0B0" w14:textId="66058744" w:rsidR="00ED4351" w:rsidRDefault="00ED4351">
            <w:r>
              <w:t>The assigned chef will be food handling trained.</w:t>
            </w:r>
          </w:p>
          <w:p w14:paraId="3C5F043E" w14:textId="3DD545C4" w:rsidR="008D115B" w:rsidRPr="00372DC4" w:rsidRDefault="008D115B"/>
        </w:tc>
        <w:tc>
          <w:tcPr>
            <w:tcW w:w="159" w:type="pct"/>
            <w:shd w:val="clear" w:color="auto" w:fill="FFFFFF" w:themeFill="background1"/>
          </w:tcPr>
          <w:p w14:paraId="3C5F043F" w14:textId="65CB717D" w:rsidR="00CE1AAA" w:rsidRPr="00957A37" w:rsidRDefault="0070519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4A110CAB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26B0CFD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67" w:type="pct"/>
            <w:shd w:val="clear" w:color="auto" w:fill="FFFFFF" w:themeFill="background1"/>
          </w:tcPr>
          <w:p w14:paraId="00429A0C" w14:textId="77777777" w:rsidR="00CE1AAA" w:rsidRDefault="008D115B">
            <w:r>
              <w:t>In the event of someone eating undercooked meat before we can prevent it, be able to provide first aid and contact emergency services.</w:t>
            </w:r>
          </w:p>
          <w:p w14:paraId="59E3ABF6" w14:textId="77777777" w:rsidR="006C59DA" w:rsidRDefault="006C59DA"/>
          <w:p w14:paraId="3C5F0442" w14:textId="6A85AF50" w:rsidR="006C59DA" w:rsidRDefault="006C59DA">
            <w:r>
              <w:rPr>
                <w:rFonts w:eastAsia="Calibri" w:cs="Calibri"/>
                <w:color w:val="000000"/>
              </w:rPr>
              <w:t xml:space="preserve">Follow </w:t>
            </w:r>
            <w:hyperlink r:id="rId12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CE1AAA" w14:paraId="3C5F044F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4308D761" w:rsidR="00CE1AAA" w:rsidRDefault="00DB52FB">
            <w:r>
              <w:t>Food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45" w14:textId="3E8C7BEE" w:rsidR="00CE1AAA" w:rsidRDefault="00DB52FB">
            <w:r>
              <w:t>Choking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46" w14:textId="46425A4F" w:rsidR="00CE1AAA" w:rsidRDefault="00DB52FB">
            <w:r>
              <w:t>Attendants to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027F92D5" w:rsidR="00CE1AAA" w:rsidRPr="00957A37" w:rsidRDefault="00DB52F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6C34A91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091B9499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4A" w14:textId="5CD37580" w:rsidR="00CE1AAA" w:rsidRPr="00372DC4" w:rsidRDefault="00DB52FB">
            <w:r>
              <w:t>Ensure that first-aid is available to be provided throughout the entire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084EC091" w:rsidR="00CE1AAA" w:rsidRPr="00957A37" w:rsidRDefault="00DB52F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06C1EEEC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04E0292C" w:rsidR="00CE1AAA" w:rsidRPr="00957A37" w:rsidRDefault="008D115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</w:tcPr>
          <w:p w14:paraId="1501AEC2" w14:textId="77777777" w:rsidR="0070519D" w:rsidRDefault="0087389E" w:rsidP="0070519D">
            <w:r>
              <w:t>In the event of a severe incident, be able to contact emergency services.</w:t>
            </w:r>
          </w:p>
          <w:p w14:paraId="39D0F7E9" w14:textId="77777777" w:rsidR="003D66DE" w:rsidRDefault="003D66DE" w:rsidP="0070519D"/>
          <w:p w14:paraId="3C5F044E" w14:textId="6A9C807D" w:rsidR="003D66DE" w:rsidRPr="003D66DE" w:rsidRDefault="006C59DA" w:rsidP="0070519D">
            <w:pPr>
              <w:rPr>
                <w:color w:val="7030A0"/>
              </w:rPr>
            </w:pPr>
            <w:r>
              <w:rPr>
                <w:rFonts w:eastAsia="Calibri" w:cs="Calibri"/>
                <w:color w:val="000000"/>
              </w:rPr>
              <w:t xml:space="preserve">Follow </w:t>
            </w:r>
            <w:hyperlink r:id="rId13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811C91" w14:paraId="13D356E0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02626C6" w14:textId="7A73E3E6" w:rsidR="00811C91" w:rsidRDefault="00811C91" w:rsidP="00811C91">
            <w:r>
              <w:rPr>
                <w:rFonts w:eastAsia="Calibri" w:cs="Calibri"/>
              </w:rPr>
              <w:lastRenderedPageBreak/>
              <w:t>Setting up of Equipment. E.g. Table</w:t>
            </w:r>
            <w:r w:rsidR="005B227A">
              <w:rPr>
                <w:rFonts w:eastAsia="Calibri" w:cs="Calibri"/>
              </w:rPr>
              <w:t>s, chairs, BBQ</w:t>
            </w:r>
          </w:p>
        </w:tc>
        <w:tc>
          <w:tcPr>
            <w:tcW w:w="885" w:type="pct"/>
            <w:shd w:val="clear" w:color="auto" w:fill="FFFFFF" w:themeFill="background1"/>
          </w:tcPr>
          <w:p w14:paraId="42AA3F63" w14:textId="71CF0E2F" w:rsidR="00811C91" w:rsidRDefault="00811C91" w:rsidP="00811C91">
            <w:r>
              <w:rPr>
                <w:rFonts w:eastAsia="Calibri" w:cs="Calibri"/>
              </w:rPr>
              <w:t>Bruising or broken bones from tripping over</w:t>
            </w:r>
            <w:r w:rsidR="005B227A">
              <w:rPr>
                <w:rFonts w:eastAsia="Calibri" w:cs="Calibri"/>
              </w:rPr>
              <w:t>.</w:t>
            </w:r>
          </w:p>
        </w:tc>
        <w:tc>
          <w:tcPr>
            <w:tcW w:w="639" w:type="pct"/>
            <w:shd w:val="clear" w:color="auto" w:fill="FFFFFF" w:themeFill="background1"/>
          </w:tcPr>
          <w:p w14:paraId="184EA16B" w14:textId="0774333D" w:rsidR="00811C91" w:rsidRDefault="00811C91" w:rsidP="00811C91">
            <w:r>
              <w:rPr>
                <w:rFonts w:eastAsia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B93414B" w14:textId="0FDE5619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B3C8F4B" w14:textId="5F99B3A1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D522129" w14:textId="268D0A52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0BD1B5AC" w14:textId="77777777" w:rsidR="00811C91" w:rsidRDefault="00811C91" w:rsidP="00811C91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Make stall operators aware of the potential risks, follow manual handling guidelines</w:t>
            </w:r>
          </w:p>
          <w:p w14:paraId="07333EB6" w14:textId="67354C61" w:rsidR="00811C91" w:rsidRDefault="00811C91" w:rsidP="00811C91">
            <w:pPr>
              <w:widowControl w:val="0"/>
              <w:numPr>
                <w:ilvl w:val="0"/>
                <w:numId w:val="39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Ensure that at least 2 people carry tables</w:t>
            </w:r>
            <w:r w:rsidR="005B227A">
              <w:rPr>
                <w:rFonts w:eastAsia="Calibri" w:cs="Calibri"/>
              </w:rPr>
              <w:t xml:space="preserve"> and sufficient people carry BBQ</w:t>
            </w:r>
            <w:r>
              <w:rPr>
                <w:rFonts w:eastAsia="Calibri" w:cs="Calibri"/>
              </w:rPr>
              <w:t>.</w:t>
            </w:r>
          </w:p>
          <w:p w14:paraId="53F97A92" w14:textId="2F2E613E" w:rsidR="00811C91" w:rsidRDefault="00811C91" w:rsidP="00811C91">
            <w:pPr>
              <w:widowControl w:val="0"/>
              <w:numPr>
                <w:ilvl w:val="0"/>
                <w:numId w:val="39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Setting up will be done by organisers.</w:t>
            </w:r>
          </w:p>
          <w:p w14:paraId="24E0248F" w14:textId="77777777" w:rsidR="00811C91" w:rsidRDefault="00811C91" w:rsidP="00811C91">
            <w:pPr>
              <w:widowControl w:val="0"/>
              <w:numPr>
                <w:ilvl w:val="0"/>
                <w:numId w:val="39"/>
              </w:numPr>
              <w:suppressAutoHyphens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</w:rPr>
              <w:t>Work in teams when handling other large and bulky items.</w:t>
            </w:r>
          </w:p>
          <w:p w14:paraId="45E73C8B" w14:textId="77777777" w:rsidR="00811C91" w:rsidRDefault="00811C91" w:rsidP="00811C91">
            <w:pPr>
              <w:widowControl w:val="0"/>
              <w:numPr>
                <w:ilvl w:val="0"/>
                <w:numId w:val="39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Use tools to support with move of heavy objects, hand truck, dolly, skates</w:t>
            </w:r>
          </w:p>
          <w:p w14:paraId="32CF17E8" w14:textId="530A7BFC" w:rsidR="00811C91" w:rsidRDefault="00811C91" w:rsidP="00811C91">
            <w:r>
              <w:rPr>
                <w:rFonts w:eastAsia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4DD4FC57" w14:textId="54434411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EE1865E" w14:textId="339731FE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CECD284" w14:textId="4A65B3BE" w:rsidR="00811C91" w:rsidRDefault="00811C91" w:rsidP="00811C91">
            <w:pPr>
              <w:rPr>
                <w:rFonts w:ascii="Lucida Sans" w:hAnsi="Lucida Sans"/>
                <w:b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967" w:type="pct"/>
            <w:shd w:val="clear" w:color="auto" w:fill="FFFFFF" w:themeFill="background1"/>
          </w:tcPr>
          <w:p w14:paraId="3AAD4B07" w14:textId="77777777" w:rsidR="00811C91" w:rsidRDefault="00811C91" w:rsidP="00C31108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Seek assistance if in need of extra help from facilities staff/venue staff if needed</w:t>
            </w:r>
          </w:p>
          <w:p w14:paraId="25241E91" w14:textId="77777777" w:rsidR="00811C91" w:rsidRDefault="00811C91" w:rsidP="00C31108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Seek medical attention from SUSU Reception if in need</w:t>
            </w:r>
          </w:p>
          <w:p w14:paraId="75B55E0A" w14:textId="77777777" w:rsidR="00811C91" w:rsidRDefault="00811C91" w:rsidP="00C31108">
            <w:pPr>
              <w:widowControl w:val="0"/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Contact emergency services if needed </w:t>
            </w:r>
          </w:p>
          <w:p w14:paraId="3DB46130" w14:textId="77777777" w:rsidR="00C31108" w:rsidRDefault="00C31108" w:rsidP="00C31108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</w:p>
          <w:p w14:paraId="1454C9ED" w14:textId="49E59CC5" w:rsidR="00811C91" w:rsidRDefault="00811C91" w:rsidP="00811C91">
            <w:r>
              <w:rPr>
                <w:rFonts w:eastAsia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D07989" w14:paraId="1D4776C8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9C5F8EE" w14:textId="73D49B14" w:rsidR="00D07989" w:rsidRPr="00042406" w:rsidRDefault="00D07989" w:rsidP="00D07989">
            <w:pPr>
              <w:rPr>
                <w:rFonts w:ascii="Calibri" w:hAnsi="Calibri" w:cs="Calibri"/>
                <w:color w:val="000000"/>
              </w:rPr>
            </w:pPr>
            <w:r w:rsidRPr="00042406">
              <w:rPr>
                <w:rFonts w:ascii="Calibri" w:hAnsi="Calibri" w:cs="Calibri"/>
                <w:color w:val="000000"/>
              </w:rPr>
              <w:lastRenderedPageBreak/>
              <w:t>Being hit by an object (ball, frisbee, le</w:t>
            </w:r>
            <w:r w:rsidR="004F296D" w:rsidRPr="00042406">
              <w:rPr>
                <w:rFonts w:ascii="Calibri" w:hAnsi="Calibri" w:cs="Calibri"/>
                <w:color w:val="000000"/>
              </w:rPr>
              <w:t>e</w:t>
            </w:r>
            <w:r w:rsidRPr="00042406">
              <w:rPr>
                <w:rFonts w:ascii="Calibri" w:hAnsi="Calibri" w:cs="Calibri"/>
                <w:color w:val="000000"/>
              </w:rPr>
              <w:t xml:space="preserve">k, etc.) during games. </w:t>
            </w:r>
          </w:p>
          <w:p w14:paraId="58E95EBA" w14:textId="2090118D" w:rsidR="00D07989" w:rsidRDefault="00D07989" w:rsidP="00D07989">
            <w:pPr>
              <w:rPr>
                <w:rFonts w:eastAsia="Calibri" w:cs="Calibri"/>
              </w:rPr>
            </w:pPr>
          </w:p>
        </w:tc>
        <w:tc>
          <w:tcPr>
            <w:tcW w:w="885" w:type="pct"/>
            <w:shd w:val="clear" w:color="auto" w:fill="FFFFFF" w:themeFill="background1"/>
          </w:tcPr>
          <w:p w14:paraId="0BE3F55E" w14:textId="408FF8CD" w:rsidR="00D07989" w:rsidRDefault="00C14A3E" w:rsidP="00D07989">
            <w:pPr>
              <w:rPr>
                <w:rFonts w:eastAsia="Calibri" w:cs="Calibri"/>
              </w:rPr>
            </w:pPr>
            <w:r>
              <w:t>Pote</w:t>
            </w:r>
            <w:r w:rsidR="004F296D">
              <w:t>ntial C</w:t>
            </w:r>
            <w:r w:rsidR="00D07989" w:rsidRPr="00A8067A">
              <w:t>oncussion if hit on the head. Otherwise, potential bruising.</w:t>
            </w:r>
          </w:p>
        </w:tc>
        <w:tc>
          <w:tcPr>
            <w:tcW w:w="639" w:type="pct"/>
            <w:shd w:val="clear" w:color="auto" w:fill="FFFFFF" w:themeFill="background1"/>
          </w:tcPr>
          <w:p w14:paraId="4348CAED" w14:textId="168C6036" w:rsidR="00D07989" w:rsidRDefault="00D07989" w:rsidP="00D07989">
            <w:pPr>
              <w:rPr>
                <w:rFonts w:eastAsia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08">
              <w:rPr>
                <w:rFonts w:ascii="Calibri" w:eastAsia="Calibri" w:hAnsi="Calibri" w:cs="Calibri"/>
              </w:rPr>
              <w:t>and spectators as well as members of the public who may be walking past</w:t>
            </w:r>
            <w:r w:rsidR="0048726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5A9DAD47" w14:textId="16918E2D" w:rsidR="00D07989" w:rsidRDefault="00D07989" w:rsidP="00D07989">
            <w:pPr>
              <w:rPr>
                <w:rFonts w:eastAsia="Calibri" w:cs="Calibr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E0D6C0F" w14:textId="69080054" w:rsidR="00D07989" w:rsidRDefault="00D07989" w:rsidP="00D07989">
            <w:pPr>
              <w:rPr>
                <w:rFonts w:eastAsia="Calibri" w:cs="Calibri"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13F7718A" w14:textId="73018841" w:rsidR="00D07989" w:rsidRDefault="00D07989" w:rsidP="00D07989">
            <w:pPr>
              <w:rPr>
                <w:rFonts w:eastAsia="Calibri" w:cs="Calibri"/>
              </w:rPr>
            </w:pPr>
            <w:r w:rsidRPr="003E147E">
              <w:rPr>
                <w:rFonts w:cstheme="minorHAnsi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12BDBCEF" w14:textId="7FFCC05F" w:rsidR="00070745" w:rsidRDefault="005D3A2A" w:rsidP="00D07989">
            <w:pPr>
              <w:widowControl w:val="0"/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All balls in use are soft or plastic</w:t>
            </w:r>
            <w:r w:rsidR="00F00D01">
              <w:rPr>
                <w:rFonts w:eastAsia="Calibri" w:cs="Calibri"/>
              </w:rPr>
              <w:t xml:space="preserve"> and all focus will be on the game</w:t>
            </w:r>
            <w:r w:rsidR="005B7AA1">
              <w:rPr>
                <w:rFonts w:eastAsia="Calibri" w:cs="Calibri"/>
              </w:rPr>
              <w:t xml:space="preserve">. People will play in groups </w:t>
            </w:r>
            <w:r w:rsidR="00CB51CD">
              <w:rPr>
                <w:rFonts w:eastAsia="Calibri" w:cs="Calibri"/>
              </w:rPr>
              <w:t>and can look out for each other.</w:t>
            </w:r>
          </w:p>
          <w:p w14:paraId="16CB78CD" w14:textId="59C4AE25" w:rsidR="004B6340" w:rsidRDefault="004B6340" w:rsidP="00D07989">
            <w:pPr>
              <w:widowControl w:val="0"/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Social secs will ensure games are being played </w:t>
            </w:r>
            <w:r w:rsidR="00070745">
              <w:rPr>
                <w:rFonts w:eastAsia="Calibri" w:cs="Calibri"/>
              </w:rPr>
              <w:t>responsibly</w:t>
            </w:r>
            <w:r w:rsidR="00042406">
              <w:rPr>
                <w:rFonts w:eastAsia="Calibri" w:cs="Calibri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16E616C2" w14:textId="0A486E98" w:rsidR="00D07989" w:rsidRDefault="00D07989" w:rsidP="00D07989">
            <w:pPr>
              <w:rPr>
                <w:rFonts w:eastAsia="Calibri" w:cs="Calibri"/>
              </w:rPr>
            </w:pPr>
            <w:r w:rsidRPr="00135E6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03D27E" w14:textId="3ADB181A" w:rsidR="00D07989" w:rsidRDefault="00042406" w:rsidP="00D079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1AEE038" w14:textId="4D2227B9" w:rsidR="00D07989" w:rsidRDefault="00042406" w:rsidP="00D079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967" w:type="pct"/>
            <w:shd w:val="clear" w:color="auto" w:fill="FFFFFF" w:themeFill="background1"/>
          </w:tcPr>
          <w:p w14:paraId="4C29373F" w14:textId="53A8039F" w:rsidR="00D07989" w:rsidRPr="00135E69" w:rsidRDefault="00D07989" w:rsidP="00D07989">
            <w:r w:rsidRPr="00135E69">
              <w:t xml:space="preserve">If the person who has been hit by the </w:t>
            </w:r>
            <w:r w:rsidR="00CB51CD">
              <w:t xml:space="preserve">object </w:t>
            </w:r>
            <w:r w:rsidRPr="00135E69">
              <w:t>is showing signs of concussion or is confused, seek medical attention immediately.</w:t>
            </w:r>
          </w:p>
          <w:p w14:paraId="64394F51" w14:textId="77777777" w:rsidR="00D07989" w:rsidRPr="00135E69" w:rsidRDefault="00D07989" w:rsidP="00D07989">
            <w:r w:rsidRPr="00135E69">
              <w:t xml:space="preserve">Call 999 in an emergency. </w:t>
            </w:r>
          </w:p>
          <w:p w14:paraId="5F0F7C13" w14:textId="77777777" w:rsidR="00CB51CD" w:rsidRDefault="00D07989" w:rsidP="00D07989">
            <w:pPr>
              <w:widowControl w:val="0"/>
              <w:suppressAutoHyphens/>
            </w:pPr>
            <w:r w:rsidRPr="00135E69">
              <w:t xml:space="preserve">Any incidents need to be reported as soon as possible ensuring duty manager/health and safety officers have been informed. </w:t>
            </w:r>
          </w:p>
          <w:p w14:paraId="5CDCCA3D" w14:textId="6F9FC32D" w:rsidR="00D07989" w:rsidRDefault="00D07989" w:rsidP="00D07989">
            <w:pPr>
              <w:widowControl w:val="0"/>
              <w:suppressAutoHyphens/>
              <w:rPr>
                <w:rFonts w:eastAsia="Calibri" w:cs="Calibri"/>
              </w:rPr>
            </w:pPr>
            <w:r w:rsidRPr="00135E69">
              <w:t>Follow SUSU incident report policy.</w:t>
            </w:r>
          </w:p>
        </w:tc>
      </w:tr>
      <w:tr w:rsidR="00D07989" w14:paraId="63931F2A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6F21779" w14:textId="32DFDE27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 xml:space="preserve">Alcohol consumption </w:t>
            </w:r>
          </w:p>
        </w:tc>
        <w:tc>
          <w:tcPr>
            <w:tcW w:w="885" w:type="pct"/>
            <w:shd w:val="clear" w:color="auto" w:fill="FFFFFF" w:themeFill="background1"/>
          </w:tcPr>
          <w:p w14:paraId="515A5DDA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Ill health</w:t>
            </w:r>
          </w:p>
          <w:p w14:paraId="12CF4C50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</w:p>
          <w:p w14:paraId="35AF63EB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Participants may become at risk of injury as a result of alcohol consumption</w:t>
            </w:r>
          </w:p>
          <w:p w14:paraId="2498F375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</w:p>
          <w:p w14:paraId="6925498E" w14:textId="3AC3CA3F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Reputational damage from disorderly behaviour while under the influence</w:t>
            </w:r>
          </w:p>
          <w:p w14:paraId="507B50BA" w14:textId="77777777" w:rsidR="00D07989" w:rsidRDefault="00D07989" w:rsidP="00D07989">
            <w:pPr>
              <w:rPr>
                <w:rFonts w:eastAsia="Calibri" w:cs="Calibri"/>
              </w:rPr>
            </w:pPr>
          </w:p>
        </w:tc>
        <w:tc>
          <w:tcPr>
            <w:tcW w:w="639" w:type="pct"/>
            <w:shd w:val="clear" w:color="auto" w:fill="FFFFFF" w:themeFill="background1"/>
          </w:tcPr>
          <w:p w14:paraId="25D4CC42" w14:textId="5683CC7D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Event organisers, event,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FACCDE6" w14:textId="1948B393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363ED29" w14:textId="6DD8125C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B8E1A6E" w14:textId="340ACABC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1D106823" w14:textId="77777777" w:rsidR="00D07989" w:rsidRDefault="00D07989" w:rsidP="00D07989">
            <w:pPr>
              <w:widowControl w:val="0"/>
              <w:numPr>
                <w:ilvl w:val="0"/>
                <w:numId w:val="43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Members are responsible for their individual safety though and are expected to act sensibly. </w:t>
            </w:r>
          </w:p>
          <w:p w14:paraId="1977D864" w14:textId="77777777" w:rsidR="00D07989" w:rsidRPr="00344EE8" w:rsidRDefault="00D07989" w:rsidP="00D07989">
            <w:pPr>
              <w:widowControl w:val="0"/>
              <w:numPr>
                <w:ilvl w:val="0"/>
                <w:numId w:val="43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Initiation behaviour not to be tolerated and drinking games to be discouraged.</w:t>
            </w:r>
          </w:p>
          <w:p w14:paraId="25B5275B" w14:textId="77777777" w:rsidR="00D07989" w:rsidRDefault="00D07989" w:rsidP="00D07989">
            <w:pPr>
              <w:widowControl w:val="0"/>
              <w:numPr>
                <w:ilvl w:val="0"/>
                <w:numId w:val="43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Alcohol will not be provided, and members are not encouraged to bring alcohol.</w:t>
            </w:r>
          </w:p>
          <w:p w14:paraId="5598D450" w14:textId="31B39C49" w:rsidR="00D07989" w:rsidRDefault="00D07989" w:rsidP="00D07989">
            <w:pPr>
              <w:widowControl w:val="0"/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Society to follow and share with members Code of conduct/SUSU</w:t>
            </w:r>
            <w:r>
              <w:t xml:space="preserve"> Expect Respect Policy.</w:t>
            </w:r>
          </w:p>
        </w:tc>
        <w:tc>
          <w:tcPr>
            <w:tcW w:w="159" w:type="pct"/>
            <w:shd w:val="clear" w:color="auto" w:fill="FFFFFF" w:themeFill="background1"/>
          </w:tcPr>
          <w:p w14:paraId="6315DF8C" w14:textId="527F6845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92DD992" w14:textId="7CD01167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009C77" w14:textId="74024BE1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967" w:type="pct"/>
            <w:shd w:val="clear" w:color="auto" w:fill="FFFFFF" w:themeFill="background1"/>
          </w:tcPr>
          <w:p w14:paraId="78EB8559" w14:textId="365FB70F" w:rsidR="00D07989" w:rsidRPr="00344EE8" w:rsidRDefault="00D07989" w:rsidP="00D07989">
            <w:pPr>
              <w:widowControl w:val="0"/>
              <w:numPr>
                <w:ilvl w:val="0"/>
                <w:numId w:val="44"/>
              </w:numPr>
              <w:suppressAutoHyphens/>
              <w:ind w:left="360" w:hanging="360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eastAsia="Calibri" w:cs="Calibri"/>
                <w:color w:val="000000"/>
              </w:rPr>
              <w:t xml:space="preserve">Follow </w:t>
            </w:r>
            <w:hyperlink r:id="rId15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E67AA4E" w14:textId="77777777" w:rsidR="00D07989" w:rsidRPr="00344EE8" w:rsidRDefault="00D07989" w:rsidP="00D07989">
            <w:pPr>
              <w:widowControl w:val="0"/>
              <w:numPr>
                <w:ilvl w:val="0"/>
                <w:numId w:val="44"/>
              </w:numPr>
              <w:suppressAutoHyphens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344EE8">
              <w:rPr>
                <w:rFonts w:eastAsia="Calibri" w:cs="Calibri"/>
                <w:color w:val="000000" w:themeColor="text1"/>
              </w:rPr>
              <w:t>Call emergency services as required 111/999</w:t>
            </w:r>
          </w:p>
          <w:p w14:paraId="657F66AE" w14:textId="69FD5FA7" w:rsidR="00D07989" w:rsidRDefault="00D07989" w:rsidP="00D07989">
            <w:pPr>
              <w:widowControl w:val="0"/>
              <w:suppressAutoHyphens/>
              <w:rPr>
                <w:rFonts w:eastAsia="Calibri" w:cs="Calibri"/>
              </w:rPr>
            </w:pPr>
            <w:r w:rsidRPr="00344EE8">
              <w:rPr>
                <w:rFonts w:eastAsia="Calibri" w:cs="Calibri"/>
                <w:color w:val="000000" w:themeColor="text1"/>
              </w:rPr>
              <w:t>Committee WIDE training</w:t>
            </w:r>
          </w:p>
        </w:tc>
      </w:tr>
      <w:tr w:rsidR="00D07989" w14:paraId="3C5F045B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0" w14:textId="4AF08D10" w:rsidR="00D07989" w:rsidRDefault="00D07989" w:rsidP="00D07989">
            <w:r>
              <w:t>Allergens (environment)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1" w14:textId="2B86F77F" w:rsidR="00D07989" w:rsidRDefault="00D07989" w:rsidP="00D07989">
            <w:r>
              <w:t>Allergic reactions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52" w14:textId="39A8B67C" w:rsidR="00D07989" w:rsidRDefault="00D07989" w:rsidP="00D07989">
            <w:r>
              <w:t>Participants with allergies.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4BAB128D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7CF39398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27722F66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56" w14:textId="2515E35B" w:rsidR="00D07989" w:rsidRPr="003D66DE" w:rsidRDefault="00D07989" w:rsidP="00D07989">
            <w:r w:rsidRPr="0070519D">
              <w:t xml:space="preserve">Individuals </w:t>
            </w:r>
            <w:r>
              <w:t>who may suffer from allergies will be warned about the environment the event is taking place in.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72E81C3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4D909658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2F64D49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</w:tcPr>
          <w:p w14:paraId="3C5F045A" w14:textId="51715B15" w:rsidR="00D07989" w:rsidRDefault="00D07989" w:rsidP="00D07989">
            <w:r>
              <w:t>In the event that the allergen is specific to the location of the event, the event shall be moved. In the event that someone suffers a severe reaction before we can take measures to prevent it, we will apply first-aid and contact emergency services.</w:t>
            </w:r>
          </w:p>
        </w:tc>
      </w:tr>
      <w:tr w:rsidR="00D07989" w14:paraId="3C5F0467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55FC3D4D" w:rsidR="00D07989" w:rsidRDefault="00D07989" w:rsidP="00D07989">
            <w:r>
              <w:lastRenderedPageBreak/>
              <w:t>Allergens (food)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48C88B17" w:rsidR="00D07989" w:rsidRDefault="00D07989" w:rsidP="00D07989">
            <w:r>
              <w:t>Allergic reactions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5E" w14:textId="35028AAD" w:rsidR="00D07989" w:rsidRDefault="00D07989" w:rsidP="00D07989">
            <w:r>
              <w:t>Participants with allergies.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421D28B4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73AF46F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26439B06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696D3A28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t>Ask all attendees of the event for their list of allergies and warn them of potential allergens. Take measures to preventing cross-contamination of food, and make attendees aware of what options they have to eat.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5285EB3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42F5B2C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3FDBB3CB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</w:tcPr>
          <w:p w14:paraId="0BD7374F" w14:textId="2562F19B" w:rsidR="00D07989" w:rsidRDefault="00D07989" w:rsidP="00D07989">
            <w:r>
              <w:t>Ask attendees who may suffer a severe allergic reaction to bring medication that can be applied, and ensure first-aid is available throughout the event. In the event that someone suffers a severe reaction before we can take measures to prevent it, we will apply first-aid and contact emergency services.</w:t>
            </w:r>
          </w:p>
          <w:p w14:paraId="72A2B17D" w14:textId="77777777" w:rsidR="00D07989" w:rsidRDefault="00D07989" w:rsidP="00D07989"/>
          <w:p w14:paraId="1BFE2B0A" w14:textId="77777777" w:rsidR="00D07989" w:rsidRDefault="00D07989" w:rsidP="00D07989">
            <w:r>
              <w:rPr>
                <w:rFonts w:eastAsia="Calibri" w:cs="Calibri"/>
                <w:color w:val="000000"/>
              </w:rPr>
              <w:t xml:space="preserve">Follow </w:t>
            </w:r>
            <w:hyperlink r:id="rId16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3C5F0466" w14:textId="66800D2E" w:rsidR="00D07989" w:rsidRDefault="00D07989" w:rsidP="00D07989"/>
        </w:tc>
      </w:tr>
      <w:tr w:rsidR="00D07989" w14:paraId="3C5F0473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68" w14:textId="1A7482E4" w:rsidR="00D07989" w:rsidRDefault="00D07989" w:rsidP="00D07989">
            <w:r>
              <w:t>Environment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69" w14:textId="2C606C7E" w:rsidR="00D07989" w:rsidRDefault="00D07989" w:rsidP="00D07989">
            <w:r>
              <w:t>Slipping or tripping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6A" w14:textId="5FE097D5" w:rsidR="00D07989" w:rsidRDefault="00D07989" w:rsidP="00D07989">
            <w:r>
              <w:t>Attendees to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749396DA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5D0F2B1F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0F4AC30A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3FD4229C" w14:textId="77777777" w:rsidR="00D07989" w:rsidRDefault="00D07989" w:rsidP="00D07989">
            <w:r>
              <w:t>Ensure that the event is set up in an area where there are no natural obstacles (such as tree roots), especially around the barbeque.</w:t>
            </w:r>
          </w:p>
          <w:p w14:paraId="6F4C45BE" w14:textId="77777777" w:rsidR="00D07989" w:rsidRDefault="00D07989" w:rsidP="00D07989"/>
          <w:p w14:paraId="3C5F046E" w14:textId="65C2DEDA" w:rsidR="00D07989" w:rsidRPr="003D66DE" w:rsidRDefault="00D07989" w:rsidP="00D07989">
            <w:r>
              <w:t>Social secs will monitor spaces and ask people to move trip hazards e.g. bags out of walkways.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6FD89FA6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6471A3BB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76A323A8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67" w:type="pct"/>
            <w:shd w:val="clear" w:color="auto" w:fill="FFFFFF" w:themeFill="background1"/>
          </w:tcPr>
          <w:p w14:paraId="3C5F0472" w14:textId="25666579" w:rsidR="00D07989" w:rsidRDefault="00D07989" w:rsidP="00D07989">
            <w:r>
              <w:t>Provide space for people to place their belongings (such as bags) out of the way of the common space used for the event.</w:t>
            </w:r>
          </w:p>
        </w:tc>
      </w:tr>
      <w:tr w:rsidR="00D07989" w14:paraId="3C5F047F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74" w14:textId="2CF3390D" w:rsidR="00D07989" w:rsidRDefault="00D07989" w:rsidP="00D07989">
            <w:r>
              <w:lastRenderedPageBreak/>
              <w:t>Environment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75" w14:textId="5D88DB26" w:rsidR="00D07989" w:rsidRDefault="00D07989" w:rsidP="00D07989">
            <w:r>
              <w:t>Sunburn, heat exhaustion</w:t>
            </w:r>
          </w:p>
        </w:tc>
        <w:tc>
          <w:tcPr>
            <w:tcW w:w="639" w:type="pct"/>
            <w:shd w:val="clear" w:color="auto" w:fill="FFFFFF" w:themeFill="background1"/>
          </w:tcPr>
          <w:p w14:paraId="3C5F0476" w14:textId="0FCAAA83" w:rsidR="00D07989" w:rsidRDefault="00D07989" w:rsidP="00D07989">
            <w:r>
              <w:t>Everyone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01E56EA3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61A77FB3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033C6EB1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1D220374" w14:textId="2DD1743E" w:rsidR="00D07989" w:rsidRDefault="00D07989" w:rsidP="00D07989">
            <w:r>
              <w:t>Ensure that everyone is made aware of the weather on the day of the event beforehand. Encourage the use of sunscreen. Provide shade and water to attendees.</w:t>
            </w:r>
          </w:p>
          <w:p w14:paraId="29B0464F" w14:textId="77777777" w:rsidR="00D07989" w:rsidRDefault="00D07989" w:rsidP="00D07989">
            <w:pPr>
              <w:rPr>
                <w:rFonts w:ascii="Lucida Sans" w:hAnsi="Lucida Sans"/>
                <w:b/>
              </w:rPr>
            </w:pPr>
          </w:p>
          <w:p w14:paraId="3C5F047A" w14:textId="2CE60C0E" w:rsidR="00D07989" w:rsidRDefault="00D07989" w:rsidP="00D07989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044979D1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65953652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7B5D6870" w:rsidR="00D07989" w:rsidRPr="00957A37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</w:tcPr>
          <w:p w14:paraId="453C5271" w14:textId="77777777" w:rsidR="00D07989" w:rsidRDefault="00D07989" w:rsidP="00D07989">
            <w:r>
              <w:t>In the event that someone actively suffers from heat exhaustion or similar, take measures to provide them with additional water and shelter. Ensure first-aid is available throughout the event, and be able to contact emergency services.</w:t>
            </w:r>
          </w:p>
          <w:p w14:paraId="3C5F047E" w14:textId="4520BBDD" w:rsidR="00D07989" w:rsidRDefault="00D07989" w:rsidP="00D07989"/>
        </w:tc>
      </w:tr>
      <w:tr w:rsidR="00D07989" w14:paraId="321976F2" w14:textId="77777777" w:rsidTr="004C481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7DDFE62" w14:textId="29D1DA67" w:rsidR="00D07989" w:rsidRDefault="00D07989" w:rsidP="00D07989">
            <w:r>
              <w:rPr>
                <w:rFonts w:eastAsia="Calibri" w:cs="Calibri"/>
              </w:rPr>
              <w:t xml:space="preserve">Medical emergency </w:t>
            </w:r>
          </w:p>
        </w:tc>
        <w:tc>
          <w:tcPr>
            <w:tcW w:w="885" w:type="pct"/>
            <w:shd w:val="clear" w:color="auto" w:fill="FFFFFF" w:themeFill="background1"/>
          </w:tcPr>
          <w:p w14:paraId="72B47988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Members may sustain injury /become unwell </w:t>
            </w:r>
          </w:p>
          <w:p w14:paraId="10A747A0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14:paraId="7C738A48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pre-existing medical conditions </w:t>
            </w:r>
          </w:p>
          <w:p w14:paraId="778CDF18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Sickness </w:t>
            </w:r>
          </w:p>
          <w:p w14:paraId="72578E22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Distress</w:t>
            </w:r>
          </w:p>
          <w:p w14:paraId="0A74BE6F" w14:textId="77777777" w:rsidR="00D07989" w:rsidRDefault="00D07989" w:rsidP="00D07989"/>
        </w:tc>
        <w:tc>
          <w:tcPr>
            <w:tcW w:w="639" w:type="pct"/>
            <w:shd w:val="clear" w:color="auto" w:fill="FFFFFF" w:themeFill="background1"/>
          </w:tcPr>
          <w:p w14:paraId="3BBA7115" w14:textId="1B04C793" w:rsidR="00D07989" w:rsidRDefault="00D07989" w:rsidP="00D07989">
            <w:r>
              <w:t>Attendees of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7A90F46A" w14:textId="7935F93B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5FD72C8" w14:textId="26A74BAA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07292845" w14:textId="7B0E7CB7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987" w:type="pct"/>
            <w:shd w:val="clear" w:color="auto" w:fill="FFFFFF" w:themeFill="background1"/>
          </w:tcPr>
          <w:p w14:paraId="75D36F04" w14:textId="77777777" w:rsidR="00D07989" w:rsidRDefault="00D07989" w:rsidP="00D07989">
            <w:pPr>
              <w:widowControl w:val="0"/>
              <w:numPr>
                <w:ilvl w:val="0"/>
                <w:numId w:val="41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Advise participants; to bring their personal medication</w:t>
            </w:r>
          </w:p>
          <w:p w14:paraId="4B56D414" w14:textId="77777777" w:rsidR="00D07989" w:rsidRDefault="00D07989" w:rsidP="00D07989">
            <w:pPr>
              <w:widowControl w:val="0"/>
              <w:numPr>
                <w:ilvl w:val="0"/>
                <w:numId w:val="41"/>
              </w:numPr>
              <w:suppressAutoHyphens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Members/Committee to carry out first aid if necessary and </w:t>
            </w:r>
            <w:r>
              <w:rPr>
                <w:rFonts w:eastAsia="Calibri" w:cs="Calibri"/>
                <w:u w:val="single"/>
              </w:rPr>
              <w:t>only if</w:t>
            </w:r>
            <w:r>
              <w:rPr>
                <w:rFonts w:eastAsia="Calibri" w:cs="Calibri"/>
              </w:rPr>
              <w:t xml:space="preserve"> qualified and confident to do so</w:t>
            </w:r>
          </w:p>
          <w:p w14:paraId="569D28B1" w14:textId="77777777" w:rsidR="00D07989" w:rsidRDefault="00D07989" w:rsidP="00D0798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Contact emergency services as required 111/999</w:t>
            </w:r>
          </w:p>
          <w:p w14:paraId="321C0CC6" w14:textId="77777777" w:rsidR="00D07989" w:rsidRDefault="00D07989" w:rsidP="00D07989">
            <w:pPr>
              <w:rPr>
                <w:rFonts w:eastAsia="Calibri" w:cs="Calibri"/>
              </w:rPr>
            </w:pPr>
          </w:p>
          <w:p w14:paraId="4A8F707D" w14:textId="77777777" w:rsidR="00D07989" w:rsidRDefault="00D07989" w:rsidP="00D07989">
            <w:pPr>
              <w:rPr>
                <w:rFonts w:eastAsia="Calibri" w:cs="Calibri"/>
              </w:rPr>
            </w:pPr>
          </w:p>
          <w:p w14:paraId="50FA88BA" w14:textId="5D12E532" w:rsidR="00D07989" w:rsidRDefault="00D07989" w:rsidP="00D07989"/>
        </w:tc>
        <w:tc>
          <w:tcPr>
            <w:tcW w:w="159" w:type="pct"/>
            <w:shd w:val="clear" w:color="auto" w:fill="FFFFFF" w:themeFill="background1"/>
          </w:tcPr>
          <w:p w14:paraId="365C211C" w14:textId="38EF9884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76F0B56" w14:textId="462416C1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12A5C1" w14:textId="4FB8DC16" w:rsidR="00D07989" w:rsidRDefault="00D07989" w:rsidP="00D07989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67" w:type="pct"/>
            <w:shd w:val="clear" w:color="auto" w:fill="FFFFFF" w:themeFill="background1"/>
          </w:tcPr>
          <w:p w14:paraId="386B8A98" w14:textId="77777777" w:rsidR="00D07989" w:rsidRDefault="00D07989" w:rsidP="00D07989">
            <w:pPr>
              <w:widowControl w:val="0"/>
              <w:rPr>
                <w:rFonts w:ascii="Calibri" w:eastAsia="Calibri" w:hAnsi="Calibri" w:cs="Calibri"/>
              </w:rPr>
            </w:pPr>
          </w:p>
          <w:p w14:paraId="10B0B4E6" w14:textId="77777777" w:rsidR="00D07989" w:rsidRDefault="00D07989" w:rsidP="00D07989">
            <w:pPr>
              <w:widowControl w:val="0"/>
              <w:numPr>
                <w:ilvl w:val="0"/>
                <w:numId w:val="42"/>
              </w:numPr>
              <w:suppressAutoHyphens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486DA9D7" w14:textId="6618A090" w:rsidR="00D07989" w:rsidRDefault="00D07989" w:rsidP="00D07989">
            <w:r>
              <w:rPr>
                <w:rFonts w:eastAsia="Calibri" w:cs="Calibri"/>
                <w:color w:val="000000"/>
              </w:rPr>
              <w:t xml:space="preserve">Follow </w:t>
            </w:r>
            <w:hyperlink r:id="rId17">
              <w:r>
                <w:rPr>
                  <w:rFonts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410"/>
        <w:gridCol w:w="1600"/>
        <w:gridCol w:w="283"/>
        <w:gridCol w:w="1539"/>
        <w:gridCol w:w="1413"/>
        <w:gridCol w:w="3647"/>
        <w:gridCol w:w="1825"/>
      </w:tblGrid>
      <w:tr w:rsidR="00C642F4" w:rsidRPr="00957A37" w14:paraId="3C5F0483" w14:textId="77777777" w:rsidTr="008E4533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E4533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703C74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3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20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2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59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672E6C" w:rsidRPr="00957A37" w14:paraId="3C5F0493" w14:textId="77777777" w:rsidTr="00703C74">
        <w:trPr>
          <w:trHeight w:val="574"/>
        </w:trPr>
        <w:tc>
          <w:tcPr>
            <w:tcW w:w="218" w:type="pct"/>
          </w:tcPr>
          <w:p w14:paraId="3C5F048D" w14:textId="180D2A8C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33" w:type="pct"/>
          </w:tcPr>
          <w:p w14:paraId="3C5F048E" w14:textId="7A8F57C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raw me</w:t>
            </w:r>
            <w:r w:rsidR="008C421F"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t is to be separate other foods</w:t>
            </w:r>
          </w:p>
        </w:tc>
        <w:tc>
          <w:tcPr>
            <w:tcW w:w="520" w:type="pct"/>
          </w:tcPr>
          <w:p w14:paraId="3C5F048F" w14:textId="4E8F1F19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Cook</w:t>
            </w:r>
          </w:p>
        </w:tc>
        <w:tc>
          <w:tcPr>
            <w:tcW w:w="592" w:type="pct"/>
            <w:gridSpan w:val="2"/>
          </w:tcPr>
          <w:p w14:paraId="3C5F0490" w14:textId="5236576C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91" w14:textId="5767239E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92" w14:textId="7777777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72E6C" w:rsidRPr="00957A37" w14:paraId="3C5F049A" w14:textId="77777777" w:rsidTr="00703C74">
        <w:trPr>
          <w:trHeight w:val="574"/>
        </w:trPr>
        <w:tc>
          <w:tcPr>
            <w:tcW w:w="218" w:type="pct"/>
          </w:tcPr>
          <w:p w14:paraId="3C5F0494" w14:textId="080C4253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33" w:type="pct"/>
          </w:tcPr>
          <w:p w14:paraId="3C5F0495" w14:textId="2EB0F1AF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Barbeque must be kept away from trees and be guarded </w:t>
            </w:r>
            <w:r w:rsidR="00DD1778">
              <w:rPr>
                <w:rFonts w:ascii="Lucida Sans" w:eastAsia="Times New Roman" w:hAnsi="Lucida Sans" w:cs="Arial"/>
                <w:color w:val="000000"/>
                <w:szCs w:val="20"/>
              </w:rPr>
              <w:t>from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wind</w:t>
            </w:r>
          </w:p>
        </w:tc>
        <w:tc>
          <w:tcPr>
            <w:tcW w:w="520" w:type="pct"/>
          </w:tcPr>
          <w:p w14:paraId="3C5F0496" w14:textId="40D47CB9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</w:p>
        </w:tc>
        <w:tc>
          <w:tcPr>
            <w:tcW w:w="592" w:type="pct"/>
            <w:gridSpan w:val="2"/>
          </w:tcPr>
          <w:p w14:paraId="3C5F0497" w14:textId="213B9D3F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98" w14:textId="463C1010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99" w14:textId="7777777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72E6C" w:rsidRPr="00957A37" w14:paraId="3C5F04A1" w14:textId="77777777" w:rsidTr="00703C74">
        <w:trPr>
          <w:trHeight w:val="574"/>
        </w:trPr>
        <w:tc>
          <w:tcPr>
            <w:tcW w:w="218" w:type="pct"/>
          </w:tcPr>
          <w:p w14:paraId="3C5F049B" w14:textId="792463B4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33" w:type="pct"/>
          </w:tcPr>
          <w:p w14:paraId="3C5F049C" w14:textId="403F55DF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Tongs and spatulas should be available for use</w:t>
            </w:r>
          </w:p>
        </w:tc>
        <w:tc>
          <w:tcPr>
            <w:tcW w:w="520" w:type="pct"/>
          </w:tcPr>
          <w:p w14:paraId="3C5F049D" w14:textId="73B92139" w:rsidR="00672E6C" w:rsidRPr="00957A37" w:rsidRDefault="006C4B2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Social Secs</w:t>
            </w:r>
          </w:p>
        </w:tc>
        <w:tc>
          <w:tcPr>
            <w:tcW w:w="592" w:type="pct"/>
            <w:gridSpan w:val="2"/>
          </w:tcPr>
          <w:p w14:paraId="3C5F049E" w14:textId="7AD027F6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9F" w14:textId="1422936A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A0" w14:textId="7777777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72E6C" w:rsidRPr="00957A37" w14:paraId="3C5F04A8" w14:textId="77777777" w:rsidTr="00703C74">
        <w:trPr>
          <w:trHeight w:val="574"/>
        </w:trPr>
        <w:tc>
          <w:tcPr>
            <w:tcW w:w="218" w:type="pct"/>
          </w:tcPr>
          <w:p w14:paraId="3C5F04A2" w14:textId="49534319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33" w:type="pct"/>
          </w:tcPr>
          <w:p w14:paraId="3C5F04A3" w14:textId="5C423414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Survey attendees for food allergies and restrictions</w:t>
            </w:r>
          </w:p>
        </w:tc>
        <w:tc>
          <w:tcPr>
            <w:tcW w:w="520" w:type="pct"/>
          </w:tcPr>
          <w:p w14:paraId="3C5F04A4" w14:textId="2AF268F3" w:rsidR="00672E6C" w:rsidRPr="00957A37" w:rsidRDefault="006C4B2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Social Secs</w:t>
            </w:r>
          </w:p>
        </w:tc>
        <w:tc>
          <w:tcPr>
            <w:tcW w:w="592" w:type="pct"/>
            <w:gridSpan w:val="2"/>
          </w:tcPr>
          <w:p w14:paraId="3C5F04A5" w14:textId="035BA438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8E4533"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A6" w14:textId="38479FB9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A7" w14:textId="7777777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72E6C" w:rsidRPr="00957A37" w14:paraId="3C5F04AF" w14:textId="77777777" w:rsidTr="00703C74">
        <w:trPr>
          <w:trHeight w:val="574"/>
        </w:trPr>
        <w:tc>
          <w:tcPr>
            <w:tcW w:w="218" w:type="pct"/>
          </w:tcPr>
          <w:p w14:paraId="3C5F04A9" w14:textId="53BE2638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33" w:type="pct"/>
          </w:tcPr>
          <w:p w14:paraId="3C5F04AA" w14:textId="59D39D3E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Inform attendees to take bring antihistamines and EpiPens</w:t>
            </w:r>
          </w:p>
        </w:tc>
        <w:tc>
          <w:tcPr>
            <w:tcW w:w="520" w:type="pct"/>
          </w:tcPr>
          <w:p w14:paraId="3C5F04AB" w14:textId="62F8BA95" w:rsidR="00672E6C" w:rsidRPr="00957A37" w:rsidRDefault="00725962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Social Secs</w:t>
            </w:r>
          </w:p>
        </w:tc>
        <w:tc>
          <w:tcPr>
            <w:tcW w:w="592" w:type="pct"/>
            <w:gridSpan w:val="2"/>
          </w:tcPr>
          <w:p w14:paraId="3C5F04AC" w14:textId="38C07A8D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8E4533"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AD" w14:textId="3131310A" w:rsidR="00672E6C" w:rsidRPr="00957A37" w:rsidRDefault="008D115B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672E6C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AE" w14:textId="77777777" w:rsidR="00672E6C" w:rsidRPr="00957A37" w:rsidRDefault="00672E6C" w:rsidP="00672E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46F4D" w:rsidRPr="00957A37" w14:paraId="3C5F04B6" w14:textId="77777777" w:rsidTr="00703C74">
        <w:trPr>
          <w:trHeight w:val="574"/>
        </w:trPr>
        <w:tc>
          <w:tcPr>
            <w:tcW w:w="218" w:type="pct"/>
          </w:tcPr>
          <w:p w14:paraId="3C5F04B0" w14:textId="31DA6C23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33" w:type="pct"/>
          </w:tcPr>
          <w:p w14:paraId="3C5F04B1" w14:textId="594D1DDF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Have </w:t>
            </w:r>
            <w:r w:rsidR="0087389E">
              <w:rPr>
                <w:rFonts w:ascii="Lucida Sans" w:eastAsia="Times New Roman" w:hAnsi="Lucida Sans" w:cs="Arial"/>
                <w:color w:val="000000"/>
                <w:szCs w:val="20"/>
              </w:rPr>
              <w:t>water or some other method of extinguishing fire available on-hand</w:t>
            </w:r>
          </w:p>
        </w:tc>
        <w:tc>
          <w:tcPr>
            <w:tcW w:w="520" w:type="pct"/>
          </w:tcPr>
          <w:p w14:paraId="3C5F04B2" w14:textId="09558FDE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</w:p>
        </w:tc>
        <w:tc>
          <w:tcPr>
            <w:tcW w:w="592" w:type="pct"/>
            <w:gridSpan w:val="2"/>
          </w:tcPr>
          <w:p w14:paraId="3C5F04B3" w14:textId="2133A52A" w:rsidR="00F46F4D" w:rsidRPr="00957A37" w:rsidRDefault="008D115B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F46F4D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B4" w14:textId="0F85EB13" w:rsidR="00F46F4D" w:rsidRPr="00957A37" w:rsidRDefault="008D115B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03C74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F46F4D">
              <w:rPr>
                <w:rFonts w:ascii="Lucida Sans" w:eastAsia="Times New Roman" w:hAnsi="Lucida Sans" w:cs="Arial"/>
                <w:color w:val="000000"/>
                <w:szCs w:val="20"/>
              </w:rPr>
              <w:t>/6/20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B5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46F4D" w:rsidRPr="00957A37" w14:paraId="3C5F04BE" w14:textId="77777777" w:rsidTr="00703C74">
        <w:trPr>
          <w:trHeight w:val="574"/>
        </w:trPr>
        <w:tc>
          <w:tcPr>
            <w:tcW w:w="218" w:type="pct"/>
          </w:tcPr>
          <w:p w14:paraId="3C5F04B7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33" w:type="pct"/>
          </w:tcPr>
          <w:p w14:paraId="3C5F04B8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0" w:type="pct"/>
          </w:tcPr>
          <w:p w14:paraId="3C5F04BA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2" w:type="pct"/>
            <w:gridSpan w:val="2"/>
          </w:tcPr>
          <w:p w14:paraId="3C5F04BB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" w:type="pct"/>
            <w:tcBorders>
              <w:right w:val="single" w:sz="18" w:space="0" w:color="auto"/>
            </w:tcBorders>
          </w:tcPr>
          <w:p w14:paraId="3C5F04BC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78" w:type="pct"/>
            <w:gridSpan w:val="2"/>
            <w:tcBorders>
              <w:left w:val="single" w:sz="18" w:space="0" w:color="auto"/>
            </w:tcBorders>
          </w:tcPr>
          <w:p w14:paraId="3C5F04BD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46F4D" w:rsidRPr="00957A37" w14:paraId="3C5F04C2" w14:textId="77777777" w:rsidTr="00703C74">
        <w:trPr>
          <w:cantSplit/>
        </w:trPr>
        <w:tc>
          <w:tcPr>
            <w:tcW w:w="2763" w:type="pct"/>
            <w:gridSpan w:val="5"/>
            <w:tcBorders>
              <w:bottom w:val="nil"/>
            </w:tcBorders>
          </w:tcPr>
          <w:p w14:paraId="3C5F04BF" w14:textId="36B0BC2E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0F38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1F0B5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Beth Gates</w:t>
            </w:r>
          </w:p>
          <w:p w14:paraId="3C5F04C0" w14:textId="77777777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37" w:type="pct"/>
            <w:gridSpan w:val="3"/>
            <w:tcBorders>
              <w:bottom w:val="nil"/>
            </w:tcBorders>
          </w:tcPr>
          <w:p w14:paraId="3C5F04C1" w14:textId="1D7601B5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0F38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 w:rsidR="008E453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Yasmeen Raynor</w:t>
            </w:r>
          </w:p>
        </w:tc>
      </w:tr>
      <w:tr w:rsidR="00F46F4D" w:rsidRPr="00957A37" w14:paraId="3C5F04C7" w14:textId="77777777" w:rsidTr="00703C74">
        <w:trPr>
          <w:cantSplit/>
          <w:trHeight w:val="606"/>
        </w:trPr>
        <w:tc>
          <w:tcPr>
            <w:tcW w:w="2263" w:type="pct"/>
            <w:gridSpan w:val="4"/>
            <w:tcBorders>
              <w:top w:val="nil"/>
              <w:right w:val="nil"/>
            </w:tcBorders>
          </w:tcPr>
          <w:p w14:paraId="3C5F04C3" w14:textId="21C98B0D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8D115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Beth Gates</w:t>
            </w:r>
          </w:p>
        </w:tc>
        <w:tc>
          <w:tcPr>
            <w:tcW w:w="500" w:type="pct"/>
            <w:tcBorders>
              <w:top w:val="nil"/>
              <w:left w:val="nil"/>
            </w:tcBorders>
          </w:tcPr>
          <w:p w14:paraId="3C5F04C4" w14:textId="31CAC6F6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1F0B5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="008E4533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1F0B5A">
              <w:rPr>
                <w:rFonts w:ascii="Lucida Sans" w:eastAsia="Times New Roman" w:hAnsi="Lucida Sans" w:cs="Arial"/>
                <w:color w:val="000000"/>
                <w:szCs w:val="20"/>
              </w:rPr>
              <w:t>/05/26</w:t>
            </w:r>
          </w:p>
        </w:tc>
        <w:tc>
          <w:tcPr>
            <w:tcW w:w="1644" w:type="pct"/>
            <w:gridSpan w:val="2"/>
            <w:tcBorders>
              <w:top w:val="nil"/>
              <w:right w:val="nil"/>
            </w:tcBorders>
          </w:tcPr>
          <w:p w14:paraId="3C5F04C5" w14:textId="66915828" w:rsidR="00F46F4D" w:rsidRPr="00957A37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8D115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F0B5A">
              <w:rPr>
                <w:rFonts w:ascii="Lucida Sans" w:eastAsia="Times New Roman" w:hAnsi="Lucida Sans" w:cs="Arial"/>
                <w:color w:val="000000"/>
                <w:szCs w:val="20"/>
              </w:rPr>
              <w:t>Yasmeen Rayno</w:t>
            </w:r>
            <w:r w:rsidR="008E4533">
              <w:rPr>
                <w:rFonts w:ascii="Lucida Sans" w:eastAsia="Times New Roman" w:hAnsi="Lucida Sans" w:cs="Arial"/>
                <w:color w:val="000000"/>
                <w:szCs w:val="20"/>
              </w:rPr>
              <w:t>r</w:t>
            </w:r>
          </w:p>
        </w:tc>
        <w:tc>
          <w:tcPr>
            <w:tcW w:w="593" w:type="pct"/>
            <w:tcBorders>
              <w:top w:val="nil"/>
              <w:left w:val="nil"/>
            </w:tcBorders>
          </w:tcPr>
          <w:p w14:paraId="6CB90F07" w14:textId="77777777" w:rsidR="008E4533" w:rsidRDefault="00F46F4D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F0B5A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634758B5" w:rsidR="00F46F4D" w:rsidRPr="00957A37" w:rsidRDefault="008E4533" w:rsidP="00F46F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14/05/26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75EA" w14:textId="77777777" w:rsidR="001573AA" w:rsidRDefault="001573AA" w:rsidP="00AC47B4">
      <w:pPr>
        <w:spacing w:after="0" w:line="240" w:lineRule="auto"/>
      </w:pPr>
      <w:r>
        <w:separator/>
      </w:r>
    </w:p>
  </w:endnote>
  <w:endnote w:type="continuationSeparator" w:id="0">
    <w:p w14:paraId="44D56FBE" w14:textId="77777777" w:rsidR="001573AA" w:rsidRDefault="001573A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1AFF" w14:textId="77777777" w:rsidR="001573AA" w:rsidRDefault="001573AA" w:rsidP="00AC47B4">
      <w:pPr>
        <w:spacing w:after="0" w:line="240" w:lineRule="auto"/>
      </w:pPr>
      <w:r>
        <w:separator/>
      </w:r>
    </w:p>
  </w:footnote>
  <w:footnote w:type="continuationSeparator" w:id="0">
    <w:p w14:paraId="5EE669B8" w14:textId="77777777" w:rsidR="001573AA" w:rsidRDefault="001573A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D205B"/>
    <w:multiLevelType w:val="multilevel"/>
    <w:tmpl w:val="D21E7B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793B06"/>
    <w:multiLevelType w:val="multilevel"/>
    <w:tmpl w:val="10FC02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5B7784"/>
    <w:multiLevelType w:val="multilevel"/>
    <w:tmpl w:val="843801B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01FD8"/>
    <w:multiLevelType w:val="multilevel"/>
    <w:tmpl w:val="C6F08E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06A9E"/>
    <w:multiLevelType w:val="multilevel"/>
    <w:tmpl w:val="0430FFC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37385"/>
    <w:multiLevelType w:val="multilevel"/>
    <w:tmpl w:val="F666484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47632">
    <w:abstractNumId w:val="36"/>
  </w:num>
  <w:num w:numId="2" w16cid:durableId="1618835431">
    <w:abstractNumId w:val="11"/>
  </w:num>
  <w:num w:numId="3" w16cid:durableId="576404223">
    <w:abstractNumId w:val="8"/>
  </w:num>
  <w:num w:numId="4" w16cid:durableId="352539721">
    <w:abstractNumId w:val="13"/>
  </w:num>
  <w:num w:numId="5" w16cid:durableId="407383687">
    <w:abstractNumId w:val="15"/>
  </w:num>
  <w:num w:numId="6" w16cid:durableId="1830290378">
    <w:abstractNumId w:val="38"/>
  </w:num>
  <w:num w:numId="7" w16cid:durableId="1455103138">
    <w:abstractNumId w:val="21"/>
  </w:num>
  <w:num w:numId="8" w16cid:durableId="480342582">
    <w:abstractNumId w:val="20"/>
  </w:num>
  <w:num w:numId="9" w16cid:durableId="444469846">
    <w:abstractNumId w:val="29"/>
  </w:num>
  <w:num w:numId="10" w16cid:durableId="1582328340">
    <w:abstractNumId w:val="16"/>
  </w:num>
  <w:num w:numId="11" w16cid:durableId="2093505428">
    <w:abstractNumId w:val="23"/>
  </w:num>
  <w:num w:numId="12" w16cid:durableId="1950045835">
    <w:abstractNumId w:val="40"/>
  </w:num>
  <w:num w:numId="13" w16cid:durableId="940843047">
    <w:abstractNumId w:val="22"/>
  </w:num>
  <w:num w:numId="14" w16cid:durableId="791946482">
    <w:abstractNumId w:val="39"/>
  </w:num>
  <w:num w:numId="15" w16cid:durableId="1772552492">
    <w:abstractNumId w:val="1"/>
  </w:num>
  <w:num w:numId="16" w16cid:durableId="671228299">
    <w:abstractNumId w:val="25"/>
  </w:num>
  <w:num w:numId="17" w16cid:durableId="1055734731">
    <w:abstractNumId w:val="12"/>
  </w:num>
  <w:num w:numId="18" w16cid:durableId="1148860743">
    <w:abstractNumId w:val="3"/>
  </w:num>
  <w:num w:numId="19" w16cid:durableId="354380338">
    <w:abstractNumId w:val="19"/>
  </w:num>
  <w:num w:numId="20" w16cid:durableId="1498492684">
    <w:abstractNumId w:val="34"/>
  </w:num>
  <w:num w:numId="21" w16cid:durableId="1296793065">
    <w:abstractNumId w:val="7"/>
  </w:num>
  <w:num w:numId="22" w16cid:durableId="1935551103">
    <w:abstractNumId w:val="18"/>
  </w:num>
  <w:num w:numId="23" w16cid:durableId="519780566">
    <w:abstractNumId w:val="35"/>
  </w:num>
  <w:num w:numId="24" w16cid:durableId="838228087">
    <w:abstractNumId w:val="32"/>
  </w:num>
  <w:num w:numId="25" w16cid:durableId="1401712407">
    <w:abstractNumId w:val="10"/>
  </w:num>
  <w:num w:numId="26" w16cid:durableId="1497185077">
    <w:abstractNumId w:val="33"/>
  </w:num>
  <w:num w:numId="27" w16cid:durableId="593780694">
    <w:abstractNumId w:val="4"/>
  </w:num>
  <w:num w:numId="28" w16cid:durableId="1109470711">
    <w:abstractNumId w:val="6"/>
  </w:num>
  <w:num w:numId="29" w16cid:durableId="1188565245">
    <w:abstractNumId w:val="28"/>
  </w:num>
  <w:num w:numId="30" w16cid:durableId="1641497440">
    <w:abstractNumId w:val="2"/>
  </w:num>
  <w:num w:numId="31" w16cid:durableId="1489252007">
    <w:abstractNumId w:val="27"/>
  </w:num>
  <w:num w:numId="32" w16cid:durableId="2017266046">
    <w:abstractNumId w:val="30"/>
  </w:num>
  <w:num w:numId="33" w16cid:durableId="1513299976">
    <w:abstractNumId w:val="37"/>
  </w:num>
  <w:num w:numId="34" w16cid:durableId="478764291">
    <w:abstractNumId w:val="0"/>
  </w:num>
  <w:num w:numId="35" w16cid:durableId="825821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4190497">
    <w:abstractNumId w:val="17"/>
  </w:num>
  <w:num w:numId="37" w16cid:durableId="1645163556">
    <w:abstractNumId w:val="42"/>
  </w:num>
  <w:num w:numId="38" w16cid:durableId="2013608172">
    <w:abstractNumId w:val="41"/>
  </w:num>
  <w:num w:numId="39" w16cid:durableId="254940182">
    <w:abstractNumId w:val="26"/>
  </w:num>
  <w:num w:numId="40" w16cid:durableId="1146583610">
    <w:abstractNumId w:val="31"/>
  </w:num>
  <w:num w:numId="41" w16cid:durableId="159081604">
    <w:abstractNumId w:val="5"/>
  </w:num>
  <w:num w:numId="42" w16cid:durableId="621889019">
    <w:abstractNumId w:val="14"/>
  </w:num>
  <w:num w:numId="43" w16cid:durableId="1129933249">
    <w:abstractNumId w:val="9"/>
  </w:num>
  <w:num w:numId="44" w16cid:durableId="18818618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0tDSztDCwNDc1MTVT0lEKTi0uzszPAykwrAUAeJkg2y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1E94"/>
    <w:rsid w:val="00042406"/>
    <w:rsid w:val="0004417F"/>
    <w:rsid w:val="00044942"/>
    <w:rsid w:val="00044B80"/>
    <w:rsid w:val="00055796"/>
    <w:rsid w:val="000618BF"/>
    <w:rsid w:val="0006375A"/>
    <w:rsid w:val="000670A4"/>
    <w:rsid w:val="00070745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C7AAA"/>
    <w:rsid w:val="000D265D"/>
    <w:rsid w:val="000D6DA0"/>
    <w:rsid w:val="000E211C"/>
    <w:rsid w:val="000E4942"/>
    <w:rsid w:val="000E60A3"/>
    <w:rsid w:val="000E76F2"/>
    <w:rsid w:val="000F3854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6ACB"/>
    <w:rsid w:val="00147C5C"/>
    <w:rsid w:val="00155D42"/>
    <w:rsid w:val="001573AA"/>
    <w:rsid w:val="001611F8"/>
    <w:rsid w:val="00161E51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0B5A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1C84"/>
    <w:rsid w:val="00332B4C"/>
    <w:rsid w:val="0033543E"/>
    <w:rsid w:val="00337BD9"/>
    <w:rsid w:val="0034005E"/>
    <w:rsid w:val="003406C8"/>
    <w:rsid w:val="00341CED"/>
    <w:rsid w:val="0034511B"/>
    <w:rsid w:val="00345452"/>
    <w:rsid w:val="00346858"/>
    <w:rsid w:val="00347838"/>
    <w:rsid w:val="00355E36"/>
    <w:rsid w:val="0036014E"/>
    <w:rsid w:val="00363BC7"/>
    <w:rsid w:val="00372DC4"/>
    <w:rsid w:val="003758D3"/>
    <w:rsid w:val="00376463"/>
    <w:rsid w:val="003769A8"/>
    <w:rsid w:val="00382484"/>
    <w:rsid w:val="003A1818"/>
    <w:rsid w:val="003A1C18"/>
    <w:rsid w:val="003B4F4C"/>
    <w:rsid w:val="003B62E8"/>
    <w:rsid w:val="003C6B63"/>
    <w:rsid w:val="003C7C7E"/>
    <w:rsid w:val="003D66D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8C6"/>
    <w:rsid w:val="00484EE8"/>
    <w:rsid w:val="0048726D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6340"/>
    <w:rsid w:val="004C1D8F"/>
    <w:rsid w:val="004C2A99"/>
    <w:rsid w:val="004C4815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296D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2CAE"/>
    <w:rsid w:val="00543E4A"/>
    <w:rsid w:val="0054687F"/>
    <w:rsid w:val="00550872"/>
    <w:rsid w:val="0055232B"/>
    <w:rsid w:val="005526B5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0FAA"/>
    <w:rsid w:val="005A64A3"/>
    <w:rsid w:val="005A72DC"/>
    <w:rsid w:val="005A7977"/>
    <w:rsid w:val="005B227A"/>
    <w:rsid w:val="005B30AB"/>
    <w:rsid w:val="005B7AA1"/>
    <w:rsid w:val="005C214B"/>
    <w:rsid w:val="005C545E"/>
    <w:rsid w:val="005D0ACF"/>
    <w:rsid w:val="005D0AED"/>
    <w:rsid w:val="005D2194"/>
    <w:rsid w:val="005D3A2A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2E6C"/>
    <w:rsid w:val="0067375F"/>
    <w:rsid w:val="006764BF"/>
    <w:rsid w:val="00676FA5"/>
    <w:rsid w:val="006816FB"/>
    <w:rsid w:val="00685B62"/>
    <w:rsid w:val="00686895"/>
    <w:rsid w:val="00691E1A"/>
    <w:rsid w:val="006A062C"/>
    <w:rsid w:val="006A2401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4B2B"/>
    <w:rsid w:val="006C5027"/>
    <w:rsid w:val="006C59DA"/>
    <w:rsid w:val="006C66BF"/>
    <w:rsid w:val="006D3C18"/>
    <w:rsid w:val="006D6844"/>
    <w:rsid w:val="006D7D78"/>
    <w:rsid w:val="006E4961"/>
    <w:rsid w:val="00703C74"/>
    <w:rsid w:val="007041AF"/>
    <w:rsid w:val="0070519D"/>
    <w:rsid w:val="00714031"/>
    <w:rsid w:val="00714975"/>
    <w:rsid w:val="00715772"/>
    <w:rsid w:val="00715C49"/>
    <w:rsid w:val="00716F42"/>
    <w:rsid w:val="007218DD"/>
    <w:rsid w:val="00722A7F"/>
    <w:rsid w:val="00725962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7F3DBA"/>
    <w:rsid w:val="00800795"/>
    <w:rsid w:val="0080233A"/>
    <w:rsid w:val="00804879"/>
    <w:rsid w:val="00806B3D"/>
    <w:rsid w:val="00811C91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389E"/>
    <w:rsid w:val="00880842"/>
    <w:rsid w:val="00891247"/>
    <w:rsid w:val="0089263B"/>
    <w:rsid w:val="00894520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421F"/>
    <w:rsid w:val="008C557F"/>
    <w:rsid w:val="008D0BAD"/>
    <w:rsid w:val="008D115B"/>
    <w:rsid w:val="008D11DE"/>
    <w:rsid w:val="008D40F1"/>
    <w:rsid w:val="008D7EA7"/>
    <w:rsid w:val="008E4533"/>
    <w:rsid w:val="008F0C2A"/>
    <w:rsid w:val="008F326F"/>
    <w:rsid w:val="008F37C0"/>
    <w:rsid w:val="008F3AA5"/>
    <w:rsid w:val="00907321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562B3"/>
    <w:rsid w:val="00961063"/>
    <w:rsid w:val="009636C6"/>
    <w:rsid w:val="009671C0"/>
    <w:rsid w:val="0097038D"/>
    <w:rsid w:val="00970CE3"/>
    <w:rsid w:val="00981ABD"/>
    <w:rsid w:val="00982EC8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D4824"/>
    <w:rsid w:val="009E164C"/>
    <w:rsid w:val="009E3539"/>
    <w:rsid w:val="009E38E0"/>
    <w:rsid w:val="009E6E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089C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577C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7E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A3E"/>
    <w:rsid w:val="00C16B30"/>
    <w:rsid w:val="00C16BCB"/>
    <w:rsid w:val="00C31108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1CD"/>
    <w:rsid w:val="00CB5A64"/>
    <w:rsid w:val="00CC1151"/>
    <w:rsid w:val="00CC228A"/>
    <w:rsid w:val="00CC2B66"/>
    <w:rsid w:val="00CD124D"/>
    <w:rsid w:val="00CD3884"/>
    <w:rsid w:val="00CD55F2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FD4"/>
    <w:rsid w:val="00D0291C"/>
    <w:rsid w:val="00D036AA"/>
    <w:rsid w:val="00D07989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350"/>
    <w:rsid w:val="00D53DC4"/>
    <w:rsid w:val="00D53E0A"/>
    <w:rsid w:val="00D54427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52FB"/>
    <w:rsid w:val="00DC0CBF"/>
    <w:rsid w:val="00DC15AB"/>
    <w:rsid w:val="00DC17FC"/>
    <w:rsid w:val="00DC1843"/>
    <w:rsid w:val="00DC6631"/>
    <w:rsid w:val="00DC778C"/>
    <w:rsid w:val="00DD1778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4B2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0E7F"/>
    <w:rsid w:val="00E5159F"/>
    <w:rsid w:val="00E557DC"/>
    <w:rsid w:val="00E6428B"/>
    <w:rsid w:val="00E64593"/>
    <w:rsid w:val="00E713D3"/>
    <w:rsid w:val="00E733F9"/>
    <w:rsid w:val="00E749A5"/>
    <w:rsid w:val="00E81CB2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4351"/>
    <w:rsid w:val="00ED6CED"/>
    <w:rsid w:val="00EE0394"/>
    <w:rsid w:val="00EE11BF"/>
    <w:rsid w:val="00EE1602"/>
    <w:rsid w:val="00EE51A1"/>
    <w:rsid w:val="00EE5A8F"/>
    <w:rsid w:val="00EF57CA"/>
    <w:rsid w:val="00F00D01"/>
    <w:rsid w:val="00F01668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2A64"/>
    <w:rsid w:val="00F43F59"/>
    <w:rsid w:val="00F4425B"/>
    <w:rsid w:val="00F4628B"/>
    <w:rsid w:val="00F46785"/>
    <w:rsid w:val="00F46F4D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2D7FF-5498-4EDE-8521-530F886F8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beth gates</cp:lastModifiedBy>
  <cp:revision>50</cp:revision>
  <cp:lastPrinted>2016-04-18T12:10:00Z</cp:lastPrinted>
  <dcterms:created xsi:type="dcterms:W3CDTF">2026-05-11T10:23:00Z</dcterms:created>
  <dcterms:modified xsi:type="dcterms:W3CDTF">2026-05-13T17:17:00Z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