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8EBFCA4" w:rsidR="00A156C3" w:rsidRPr="00A156C3" w:rsidRDefault="00CA2DF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Mind Society Tea and Talk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62F08C2" w:rsidR="00A156C3" w:rsidRPr="00A156C3" w:rsidRDefault="00CA2DF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12/08/2020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CDF5D32" w:rsidR="00A156C3" w:rsidRPr="00A156C3" w:rsidRDefault="00CA2DF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Mind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EC58E25" w:rsidR="00CA2DFE" w:rsidRPr="00CA2DFE" w:rsidRDefault="00CA2DFE" w:rsidP="00CA2DFE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Viktoria Venkatess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1331772" w:rsidR="00EB5320" w:rsidRPr="00CA2DFE" w:rsidRDefault="00CA2DF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2F63E2A9" w:rsidR="00EB5320" w:rsidRDefault="00C7213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Isra Ilyas</w:t>
            </w:r>
          </w:p>
          <w:p w14:paraId="3C5F040A" w14:textId="77777777" w:rsidR="00EB5320" w:rsidRPr="00CA2DFE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4"/>
        <w:gridCol w:w="1942"/>
        <w:gridCol w:w="489"/>
        <w:gridCol w:w="489"/>
        <w:gridCol w:w="499"/>
        <w:gridCol w:w="3038"/>
        <w:gridCol w:w="489"/>
        <w:gridCol w:w="489"/>
        <w:gridCol w:w="489"/>
        <w:gridCol w:w="300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427033">
        <w:trPr>
          <w:tblHeader/>
        </w:trPr>
        <w:tc>
          <w:tcPr>
            <w:tcW w:w="2080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427033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172B62E1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r w:rsidR="00CA2DFE" w:rsidRPr="00957A37">
              <w:rPr>
                <w:rFonts w:ascii="Lucida Sans" w:hAnsi="Lucida Sans"/>
                <w:b/>
              </w:rPr>
              <w:t>harmed?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9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427033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4270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3EE6854B" w:rsidR="00CE1AAA" w:rsidRDefault="00CA2DFE">
            <w:r>
              <w:t>Food allergies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09F0FD76" w:rsidR="00CE1AAA" w:rsidRDefault="00CA2DFE">
            <w:r>
              <w:t>Risk of allergic reaction to food items e.g. biscuits</w:t>
            </w:r>
            <w:r w:rsidR="00B00CD9">
              <w:t>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47BF7240" w:rsidR="00CE1AAA" w:rsidRDefault="00CA2DFE">
            <w:r>
              <w:t>Attendees, committee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68ED626" w:rsidR="00CE1AAA" w:rsidRPr="00CA2DFE" w:rsidRDefault="00CA2DFE" w:rsidP="00CE1AAA">
            <w:r w:rsidRPr="00CA2DFE"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0BA1B91" w:rsidR="00CE1AAA" w:rsidRPr="00CA2DFE" w:rsidRDefault="00CA2DFE" w:rsidP="00CE1AAA">
            <w:r w:rsidRPr="00CA2DFE"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7EC04025" w:rsidR="00CE1AAA" w:rsidRPr="00CA2DFE" w:rsidRDefault="00CA2DFE" w:rsidP="00CE1AAA">
            <w:r w:rsidRPr="00CA2DFE"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6C5FBDB0" w14:textId="56FB1F3F" w:rsidR="00CE1AAA" w:rsidRDefault="00CA2DFE" w:rsidP="00B00CD9">
            <w:pPr>
              <w:pStyle w:val="ListParagraph"/>
              <w:numPr>
                <w:ilvl w:val="0"/>
                <w:numId w:val="40"/>
              </w:numPr>
            </w:pPr>
            <w:r w:rsidRPr="00CA2DFE">
              <w:t>Keep all packaging for food items</w:t>
            </w:r>
            <w:r w:rsidR="002C484B">
              <w:t xml:space="preserve">, </w:t>
            </w:r>
            <w:r>
              <w:t>committee members to ask attendees if they have any allergies and check to ensure these allergens are not present in the food they wish to eat.</w:t>
            </w:r>
          </w:p>
          <w:p w14:paraId="7AEA9870" w14:textId="3A638D4F" w:rsidR="00B00CD9" w:rsidRDefault="00B00CD9" w:rsidP="00B00CD9">
            <w:pPr>
              <w:pStyle w:val="ListParagraph"/>
              <w:numPr>
                <w:ilvl w:val="0"/>
                <w:numId w:val="40"/>
              </w:numPr>
            </w:pPr>
            <w:r>
              <w:t>Keep items separate to avoid cross-contamination.</w:t>
            </w:r>
          </w:p>
          <w:p w14:paraId="3C5F0432" w14:textId="2E674F4F" w:rsidR="002C484B" w:rsidRPr="00CA2DFE" w:rsidRDefault="002C484B" w:rsidP="00B00CD9">
            <w:pPr>
              <w:pStyle w:val="ListParagraph"/>
              <w:numPr>
                <w:ilvl w:val="0"/>
                <w:numId w:val="40"/>
              </w:numPr>
            </w:pPr>
            <w:r>
              <w:t>If the food items may/do contain common allergens e.g. nuts, signs will be displayed to notify attendees of this: “</w:t>
            </w:r>
            <w:r w:rsidRPr="00B00CD9">
              <w:rPr>
                <w:rFonts w:ascii="Calibri" w:eastAsia="Times New Roman" w:hAnsi="Calibri" w:cs="Times New Roman"/>
                <w:color w:val="000000"/>
                <w:lang w:eastAsia="en-GB"/>
              </w:rPr>
              <w:t>Products may contain nuts or nut extract”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11FF303" w:rsidR="00CE1AAA" w:rsidRPr="00CA2DFE" w:rsidRDefault="002C484B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63B16BF" w:rsidR="00CE1AAA" w:rsidRPr="00CA2DFE" w:rsidRDefault="00CA2DFE" w:rsidP="00CE1AAA">
            <w: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61BA6F10" w:rsidR="00CE1AAA" w:rsidRPr="00CA2DFE" w:rsidRDefault="002C484B" w:rsidP="00CE1AAA">
            <w: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4B36E89" w14:textId="77777777" w:rsidR="00B00CD9" w:rsidRPr="00B00CD9" w:rsidRDefault="00B00CD9" w:rsidP="00B00CD9">
            <w:pPr>
              <w:pStyle w:val="ListParagraph"/>
              <w:numPr>
                <w:ilvl w:val="0"/>
                <w:numId w:val="41"/>
              </w:numPr>
            </w:pPr>
            <w:r w:rsidRPr="00B00CD9">
              <w:t>Seek medical attention from SUSU Reception if in need</w:t>
            </w:r>
            <w:r>
              <w:t>.</w:t>
            </w:r>
          </w:p>
          <w:p w14:paraId="62A45FC6" w14:textId="77777777" w:rsidR="00B00CD9" w:rsidRPr="00B00CD9" w:rsidRDefault="00B00CD9" w:rsidP="00B00CD9">
            <w:pPr>
              <w:pStyle w:val="ListParagraph"/>
              <w:numPr>
                <w:ilvl w:val="0"/>
                <w:numId w:val="41"/>
              </w:numPr>
            </w:pPr>
            <w:r w:rsidRPr="00B00CD9">
              <w:t>Contact emergency services if needed</w:t>
            </w:r>
            <w:r>
              <w:t>.</w:t>
            </w:r>
          </w:p>
          <w:p w14:paraId="3C5F0436" w14:textId="403456CF" w:rsidR="00B00CD9" w:rsidRDefault="00B00CD9"/>
        </w:tc>
      </w:tr>
      <w:tr w:rsidR="00CE1AAA" w14:paraId="3C5F0443" w14:textId="77777777" w:rsidTr="004270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06B156A" w:rsidR="00CE1AAA" w:rsidRDefault="002C484B">
            <w:r>
              <w:lastRenderedPageBreak/>
              <w:t>Boiling water in kettle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6D3692D9" w:rsidR="00CE1AAA" w:rsidRDefault="002C484B">
            <w:r>
              <w:t>Risk of burns, electrical fault</w:t>
            </w:r>
            <w:r w:rsidR="00B00CD9">
              <w:t>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76864A60" w:rsidR="00CE1AAA" w:rsidRDefault="002C484B">
            <w:r>
              <w:t>Attendees, committee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BEF12EE" w:rsidR="00CE1AAA" w:rsidRPr="00CA2DFE" w:rsidRDefault="002C484B" w:rsidP="00CE1AAA">
            <w: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1DB63FC1" w:rsidR="00CE1AAA" w:rsidRPr="00CA2DFE" w:rsidRDefault="002C484B" w:rsidP="00CE1AAA">
            <w: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73B89C5D" w:rsidR="00CE1AAA" w:rsidRPr="00CA2DFE" w:rsidRDefault="002C484B" w:rsidP="00CE1AAA">
            <w: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4149D44C" w14:textId="77777777" w:rsidR="00CE1AAA" w:rsidRDefault="002C484B" w:rsidP="00B00CD9">
            <w:pPr>
              <w:pStyle w:val="ListParagraph"/>
              <w:numPr>
                <w:ilvl w:val="0"/>
                <w:numId w:val="40"/>
              </w:numPr>
            </w:pPr>
            <w:r>
              <w:t>Ensure the kettle is in working order and has been PAT tested.</w:t>
            </w:r>
          </w:p>
          <w:p w14:paraId="22D22FA9" w14:textId="77777777" w:rsidR="00B00CD9" w:rsidRDefault="002C484B" w:rsidP="00B00CD9">
            <w:pPr>
              <w:pStyle w:val="ListParagraph"/>
              <w:numPr>
                <w:ilvl w:val="0"/>
                <w:numId w:val="40"/>
              </w:numPr>
            </w:pPr>
            <w:r>
              <w:t>Committee members will warn attendees of hot water.</w:t>
            </w:r>
            <w:r w:rsidR="00B00CD9">
              <w:t xml:space="preserve"> </w:t>
            </w:r>
          </w:p>
          <w:p w14:paraId="3C5F043E" w14:textId="747B2568" w:rsidR="002C484B" w:rsidRPr="00CA2DFE" w:rsidRDefault="00B00CD9" w:rsidP="00B00CD9">
            <w:pPr>
              <w:pStyle w:val="ListParagraph"/>
              <w:numPr>
                <w:ilvl w:val="0"/>
                <w:numId w:val="40"/>
              </w:numPr>
            </w:pPr>
            <w:r>
              <w:t>Ensure the kettle is not full to maximum capacity to ensure it is not too heavy, thereby reducing the likelihood of spills.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63D4460A" w:rsidR="00CE1AAA" w:rsidRPr="00CA2DFE" w:rsidRDefault="002C484B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618FE7D7" w:rsidR="00CE1AAA" w:rsidRPr="00CA2DFE" w:rsidRDefault="002C484B" w:rsidP="00CE1AAA">
            <w: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8BE06C2" w:rsidR="00CE1AAA" w:rsidRPr="00CA2DFE" w:rsidRDefault="002C484B" w:rsidP="00CE1AAA">
            <w: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4307B832" w14:textId="1997C0AB" w:rsidR="00B00CD9" w:rsidRPr="00B00CD9" w:rsidRDefault="00B00CD9" w:rsidP="00B00CD9">
            <w:pPr>
              <w:pStyle w:val="ListParagraph"/>
              <w:numPr>
                <w:ilvl w:val="0"/>
                <w:numId w:val="41"/>
              </w:numPr>
            </w:pPr>
            <w:r w:rsidRPr="00B00CD9">
              <w:t>Seek medical attention from SUSU Reception if in need</w:t>
            </w:r>
            <w:r>
              <w:t>.</w:t>
            </w:r>
          </w:p>
          <w:p w14:paraId="1A322F8E" w14:textId="63244583" w:rsidR="00B00CD9" w:rsidRPr="00B00CD9" w:rsidRDefault="00B00CD9" w:rsidP="00B00CD9">
            <w:pPr>
              <w:pStyle w:val="ListParagraph"/>
              <w:numPr>
                <w:ilvl w:val="0"/>
                <w:numId w:val="41"/>
              </w:numPr>
            </w:pPr>
            <w:r w:rsidRPr="00B00CD9">
              <w:t>Contact emergency services if needed</w:t>
            </w:r>
            <w:r>
              <w:t>.</w:t>
            </w:r>
          </w:p>
          <w:p w14:paraId="3C5F0442" w14:textId="4DF6696C" w:rsidR="00B00CD9" w:rsidRDefault="00B00CD9"/>
        </w:tc>
      </w:tr>
      <w:tr w:rsidR="00CE1AAA" w14:paraId="3C5F044F" w14:textId="77777777" w:rsidTr="004270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1ED8D5CB" w:rsidR="00CE1AAA" w:rsidRDefault="002C484B">
            <w:r>
              <w:t>Manual handling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184D6C0B" w:rsidR="00CE1AAA" w:rsidRDefault="002C484B">
            <w:r>
              <w:t>Risk of musculoskeletal injuries, cuts, bruises and crushing</w:t>
            </w:r>
            <w:r w:rsidR="00B00CD9">
              <w:t>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20F8E53C" w:rsidR="00CE1AAA" w:rsidRDefault="002C484B">
            <w:r>
              <w:t>Committee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31A4EA25" w:rsidR="00CE1AAA" w:rsidRPr="002C484B" w:rsidRDefault="00B00CD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1EB75EAB" w:rsidR="00CE1AAA" w:rsidRPr="002C484B" w:rsidRDefault="00B00CD9" w:rsidP="00CE1AAA">
            <w: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7BB775B2" w:rsidR="00CE1AAA" w:rsidRPr="002C484B" w:rsidRDefault="00B00CD9" w:rsidP="00CE1AAA">
            <w: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20245B74" w14:textId="77777777" w:rsidR="002C484B" w:rsidRPr="002C484B" w:rsidRDefault="002C484B" w:rsidP="00B00CD9">
            <w:pPr>
              <w:pStyle w:val="ListParagraph"/>
              <w:numPr>
                <w:ilvl w:val="0"/>
                <w:numId w:val="40"/>
              </w:numPr>
            </w:pPr>
            <w:r w:rsidRPr="002C484B">
              <w:t>Ensure that two people carry tables.</w:t>
            </w:r>
          </w:p>
          <w:p w14:paraId="3C5F044A" w14:textId="6D4F397E" w:rsidR="002C484B" w:rsidRPr="002C484B" w:rsidRDefault="002C484B" w:rsidP="00B00CD9">
            <w:pPr>
              <w:pStyle w:val="ListParagraph"/>
              <w:numPr>
                <w:ilvl w:val="0"/>
                <w:numId w:val="40"/>
              </w:numPr>
            </w:pPr>
            <w:r w:rsidRPr="002C484B">
              <w:t>Work in teams when handling other large and heavy items.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482B3AFB" w:rsidR="00CE1AAA" w:rsidRPr="002C484B" w:rsidRDefault="00B00CD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D8278D7" w:rsidR="00CE1AAA" w:rsidRPr="002C484B" w:rsidRDefault="00B00CD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516298C9" w:rsidR="00CE1AAA" w:rsidRPr="002C484B" w:rsidRDefault="00B00CD9" w:rsidP="00CE1AAA">
            <w: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0B80342F" w14:textId="77777777" w:rsidR="00B00CD9" w:rsidRPr="00B00CD9" w:rsidRDefault="00B00CD9" w:rsidP="00B00CD9">
            <w:pPr>
              <w:pStyle w:val="ListParagraph"/>
              <w:numPr>
                <w:ilvl w:val="0"/>
                <w:numId w:val="41"/>
              </w:numPr>
            </w:pPr>
            <w:r w:rsidRPr="00B00CD9">
              <w:t>Seek medical attention from SUSU Reception if in need</w:t>
            </w:r>
            <w:r>
              <w:t>.</w:t>
            </w:r>
          </w:p>
          <w:p w14:paraId="3C5F044E" w14:textId="5C68EC0B" w:rsidR="00CE1AAA" w:rsidRDefault="00B00CD9" w:rsidP="00B00CD9">
            <w:pPr>
              <w:pStyle w:val="ListParagraph"/>
              <w:numPr>
                <w:ilvl w:val="0"/>
                <w:numId w:val="41"/>
              </w:numPr>
            </w:pPr>
            <w:r w:rsidRPr="00B00CD9">
              <w:t>Contact emergency services if needed</w:t>
            </w:r>
            <w:r>
              <w:t>.</w:t>
            </w:r>
          </w:p>
        </w:tc>
      </w:tr>
      <w:tr w:rsidR="00CE1AAA" w14:paraId="3C5F045B" w14:textId="77777777" w:rsidTr="004270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10E71586" w:rsidR="00CE1AAA" w:rsidRDefault="00B00CD9">
            <w:r>
              <w:lastRenderedPageBreak/>
              <w:t>Overcrowding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4EF496E3" w:rsidR="00CE1AAA" w:rsidRDefault="00B00CD9">
            <w:r>
              <w:t>Reduced space in walkways and entrances.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181603E2" w:rsidR="00CE1AAA" w:rsidRDefault="00B00CD9">
            <w:r>
              <w:t>Attendees, committee members.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1F9FC6DA" w:rsidR="00CE1AAA" w:rsidRPr="002C484B" w:rsidRDefault="00B00CD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4F9C5330" w:rsidR="00CE1AAA" w:rsidRPr="002C484B" w:rsidRDefault="00B00CD9" w:rsidP="00CE1AAA">
            <w: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3B3048E8" w:rsidR="00CE1AAA" w:rsidRPr="002C484B" w:rsidRDefault="00B00CD9" w:rsidP="00CE1AAA">
            <w: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75ACEFEC" w14:textId="77777777" w:rsidR="00CE1AAA" w:rsidRDefault="00B00CD9" w:rsidP="00B00CD9">
            <w:pPr>
              <w:pStyle w:val="ListParagraph"/>
              <w:numPr>
                <w:ilvl w:val="0"/>
                <w:numId w:val="40"/>
              </w:numPr>
            </w:pPr>
            <w:r>
              <w:t>A maximum of three committee members to be present at any given time.</w:t>
            </w:r>
          </w:p>
          <w:p w14:paraId="727DCE3E" w14:textId="77777777" w:rsidR="00B00CD9" w:rsidRDefault="00B00CD9" w:rsidP="00B00CD9">
            <w:pPr>
              <w:pStyle w:val="ListParagraph"/>
              <w:numPr>
                <w:ilvl w:val="0"/>
                <w:numId w:val="40"/>
              </w:numPr>
            </w:pPr>
            <w:r>
              <w:t>Ensure that committee members and attendees keep walkways clear.</w:t>
            </w:r>
          </w:p>
          <w:p w14:paraId="3C5F0456" w14:textId="3FAC27FE" w:rsidR="00C72135" w:rsidRPr="002C484B" w:rsidRDefault="00C72135" w:rsidP="00B00CD9">
            <w:pPr>
              <w:pStyle w:val="ListParagraph"/>
              <w:numPr>
                <w:ilvl w:val="0"/>
                <w:numId w:val="40"/>
              </w:numPr>
            </w:pPr>
            <w:r>
              <w:t>Ensure people follow the one-way system in place by SUSU and adhere to social distancing of 2m and wear masks in the building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77777777" w:rsidR="00CE1AAA" w:rsidRPr="002C484B" w:rsidRDefault="00CE1AAA" w:rsidP="00CE1AAA"/>
        </w:tc>
        <w:tc>
          <w:tcPr>
            <w:tcW w:w="159" w:type="pct"/>
            <w:shd w:val="clear" w:color="auto" w:fill="FFFFFF" w:themeFill="background1"/>
          </w:tcPr>
          <w:p w14:paraId="3C5F0458" w14:textId="77777777" w:rsidR="00CE1AAA" w:rsidRPr="002C484B" w:rsidRDefault="00CE1AAA" w:rsidP="00CE1AAA"/>
        </w:tc>
        <w:tc>
          <w:tcPr>
            <w:tcW w:w="159" w:type="pct"/>
            <w:shd w:val="clear" w:color="auto" w:fill="FFFFFF" w:themeFill="background1"/>
          </w:tcPr>
          <w:p w14:paraId="3C5F0459" w14:textId="77777777" w:rsidR="00CE1AAA" w:rsidRPr="002C484B" w:rsidRDefault="00CE1AAA" w:rsidP="00CE1AAA"/>
        </w:tc>
        <w:tc>
          <w:tcPr>
            <w:tcW w:w="978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4270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61464746" w:rsidR="00CE1AAA" w:rsidRDefault="00B00CD9"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</w:tc>
        <w:tc>
          <w:tcPr>
            <w:tcW w:w="885" w:type="pct"/>
            <w:shd w:val="clear" w:color="auto" w:fill="FFFFFF" w:themeFill="background1"/>
          </w:tcPr>
          <w:p w14:paraId="63FFD94F" w14:textId="77777777" w:rsidR="00B00CD9" w:rsidRDefault="00B00CD9">
            <w:r>
              <w:t xml:space="preserve">Risk of minor injuries e.g. grazes, </w:t>
            </w:r>
            <w:proofErr w:type="gramStart"/>
            <w:r>
              <w:t>cuts</w:t>
            </w:r>
            <w:proofErr w:type="gramEnd"/>
            <w:r>
              <w:t xml:space="preserve"> and bruises.</w:t>
            </w:r>
          </w:p>
          <w:p w14:paraId="3C5F045D" w14:textId="5959A15A" w:rsidR="00B00CD9" w:rsidRDefault="00B00CD9">
            <w:r>
              <w:t>Risk of major injuries e.g. fractures.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7B23E516" w:rsidR="00CE1AAA" w:rsidRDefault="00B00CD9">
            <w:r>
              <w:t>Attendees, committee members.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2B186957" w:rsidR="00CE1AAA" w:rsidRPr="002C484B" w:rsidRDefault="00B00CD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628DFB41" w:rsidR="00CE1AAA" w:rsidRPr="002C484B" w:rsidRDefault="00B00CD9" w:rsidP="00CE1AAA">
            <w: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7BECE5D8" w:rsidR="00CE1AAA" w:rsidRPr="002C484B" w:rsidRDefault="00B00CD9" w:rsidP="00CE1AAA">
            <w: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3668F9F" w14:textId="77777777" w:rsidR="00CE1AAA" w:rsidRDefault="00B00CD9" w:rsidP="00B00CD9">
            <w:pPr>
              <w:pStyle w:val="ListParagraph"/>
              <w:numPr>
                <w:ilvl w:val="0"/>
                <w:numId w:val="40"/>
              </w:numPr>
            </w:pPr>
            <w:r>
              <w:t>Ensure the area surrounding the table where the tea is serves is clear and free of obstructions.</w:t>
            </w:r>
          </w:p>
          <w:p w14:paraId="3C5F0462" w14:textId="39DA5DFE" w:rsidR="00B00CD9" w:rsidRPr="002C484B" w:rsidRDefault="00B00CD9" w:rsidP="00B00CD9">
            <w:pPr>
              <w:pStyle w:val="ListParagraph"/>
              <w:numPr>
                <w:ilvl w:val="0"/>
                <w:numId w:val="40"/>
              </w:numPr>
            </w:pPr>
            <w:r>
              <w:t>Ensure all rubbish is placed in bins and not thrown on the floor.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04909F5A" w:rsidR="00CE1AAA" w:rsidRPr="002C484B" w:rsidRDefault="00B00CD9" w:rsidP="00CE1AAA">
            <w: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3B3DF126" w:rsidR="00CE1AAA" w:rsidRPr="002C484B" w:rsidRDefault="00B00CD9" w:rsidP="00CE1AAA">
            <w: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52591426" w:rsidR="00CE1AAA" w:rsidRPr="002C484B" w:rsidRDefault="00B00CD9" w:rsidP="00CE1AAA">
            <w: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42703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3DACDC89" w:rsidR="00CE1AAA" w:rsidRDefault="00C72135">
            <w:r>
              <w:lastRenderedPageBreak/>
              <w:t xml:space="preserve">Transmission of coronavirus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34623E65" w:rsidR="00CE1AAA" w:rsidRDefault="00C72135">
            <w:r>
              <w:t xml:space="preserve">Spread of coronavirus to others in the building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6A" w14:textId="65542696" w:rsidR="00CE1AAA" w:rsidRDefault="00C72135">
            <w:r>
              <w:t>Attendees, committee members, other people in the building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380081A2" w:rsidR="00CE1AAA" w:rsidRPr="00957A37" w:rsidRDefault="00C721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0679EEA2" w:rsidR="00CE1AAA" w:rsidRPr="00957A37" w:rsidRDefault="00C721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22AE45D3" w:rsidR="00CE1AAA" w:rsidRPr="00957A37" w:rsidRDefault="00C721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300FC0EC" w14:textId="2D7CA9FA" w:rsidR="00CE1AAA" w:rsidRDefault="00427033" w:rsidP="00C721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C72135">
              <w:rPr>
                <w:rFonts w:cstheme="minorHAnsi"/>
                <w:bCs/>
              </w:rPr>
              <w:t>Ensure masks are worn in and around SUSU building – when walking along corridors, to toilets etc. and to only remove when eating or drinking</w:t>
            </w:r>
          </w:p>
          <w:p w14:paraId="56402815" w14:textId="22919F68" w:rsidR="00C72135" w:rsidRDefault="00427033" w:rsidP="00C721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C72135">
              <w:rPr>
                <w:rFonts w:cstheme="minorHAnsi"/>
                <w:bCs/>
              </w:rPr>
              <w:t xml:space="preserve">Ensure the kettle is cleaned with </w:t>
            </w:r>
            <w:proofErr w:type="spellStart"/>
            <w:r w:rsidR="00C72135">
              <w:rPr>
                <w:rFonts w:cstheme="minorHAnsi"/>
                <w:bCs/>
              </w:rPr>
              <w:t>antibac</w:t>
            </w:r>
            <w:proofErr w:type="spellEnd"/>
            <w:r w:rsidR="00C72135">
              <w:rPr>
                <w:rFonts w:cstheme="minorHAnsi"/>
                <w:bCs/>
              </w:rPr>
              <w:t xml:space="preserve"> wipes (SUSU to provide) after usage (student using kettle to do so)</w:t>
            </w:r>
          </w:p>
          <w:p w14:paraId="3AE148B4" w14:textId="479D2C7A" w:rsidR="00C72135" w:rsidRDefault="00427033" w:rsidP="00C721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C72135">
              <w:rPr>
                <w:rFonts w:cstheme="minorHAnsi"/>
                <w:bCs/>
              </w:rPr>
              <w:t xml:space="preserve">Ensure disposable cups are used for drinking </w:t>
            </w:r>
          </w:p>
          <w:p w14:paraId="24395718" w14:textId="73C01A09" w:rsidR="00C72135" w:rsidRDefault="00427033" w:rsidP="00C721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C72135">
              <w:rPr>
                <w:rFonts w:cstheme="minorHAnsi"/>
                <w:bCs/>
              </w:rPr>
              <w:t>Ensure people stay 2m apart and space chairs out far enough to allow this – have a cap on room numbers and ensure people book into sessions and don’t just turn up</w:t>
            </w:r>
          </w:p>
          <w:p w14:paraId="3C5F046E" w14:textId="02B1F8E0" w:rsidR="00C72135" w:rsidRPr="00C72135" w:rsidRDefault="00427033" w:rsidP="00C7213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</w:t>
            </w:r>
            <w:r w:rsidR="00C72135">
              <w:rPr>
                <w:rFonts w:cstheme="minorHAnsi"/>
                <w:bCs/>
              </w:rPr>
              <w:t xml:space="preserve">Ensure people follow the one-way system in place </w:t>
            </w:r>
            <w:r>
              <w:rPr>
                <w:rFonts w:cstheme="minorHAnsi"/>
                <w:bCs/>
              </w:rPr>
              <w:t>in SUSU building and give way when needed whilst wearing masks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12B97F4E" w:rsidR="00CE1AAA" w:rsidRPr="00957A37" w:rsidRDefault="00C721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71558A08" w:rsidR="00CE1AAA" w:rsidRPr="00957A37" w:rsidRDefault="00C721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799D45AC" w:rsidR="00CE1AAA" w:rsidRPr="00957A37" w:rsidRDefault="00C7213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2" w14:textId="77777777" w:rsidR="00CE1AAA" w:rsidRDefault="00CE1AAA"/>
        </w:tc>
      </w:tr>
    </w:tbl>
    <w:p w14:paraId="3C5F0480" w14:textId="3B1358FE" w:rsidR="00CE1AAA" w:rsidRDefault="00CE1AAA"/>
    <w:p w14:paraId="7049D1A0" w14:textId="77777777" w:rsidR="009F55D6" w:rsidRDefault="009F55D6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73"/>
        <w:gridCol w:w="1494"/>
        <w:gridCol w:w="322"/>
        <w:gridCol w:w="1470"/>
        <w:gridCol w:w="1581"/>
        <w:gridCol w:w="3953"/>
        <w:gridCol w:w="142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0E71432A" w:rsidR="00C642F4" w:rsidRPr="00B00CD9" w:rsidRDefault="00B00CD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0CD9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29DA603" w:rsidR="00C642F4" w:rsidRPr="00B00CD9" w:rsidRDefault="009F55D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Ensure all committee members have read and understood the risk assessment.</w:t>
            </w:r>
          </w:p>
        </w:tc>
        <w:tc>
          <w:tcPr>
            <w:tcW w:w="602" w:type="pct"/>
          </w:tcPr>
          <w:p w14:paraId="3C5F048F" w14:textId="68364E48" w:rsidR="00C642F4" w:rsidRPr="00B00CD9" w:rsidRDefault="009F55D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All committee members</w:t>
            </w:r>
          </w:p>
        </w:tc>
        <w:tc>
          <w:tcPr>
            <w:tcW w:w="319" w:type="pct"/>
            <w:gridSpan w:val="2"/>
          </w:tcPr>
          <w:p w14:paraId="3C5F0490" w14:textId="575CCC27" w:rsidR="00C642F4" w:rsidRPr="00B00CD9" w:rsidRDefault="009F55D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28/09/2020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4169867" w:rsidR="00C642F4" w:rsidRPr="00B00CD9" w:rsidRDefault="009F55D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04/01/202</w:t>
            </w:r>
            <w:r w:rsidR="00C72135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6913E3B4" w:rsidR="00C642F4" w:rsidRPr="00957A37" w:rsidRDefault="009F55D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all committee members remember the risk assessment and necessary steps to prevent the risks before commencing events for term two.</w:t>
            </w: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  <w:p w14:paraId="3C5F04B9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F5ECF2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4270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427033">
              <w:rPr>
                <w:rFonts w:ascii="Lucida Sans" w:eastAsia="Times New Roman" w:hAnsi="Lucida Sans" w:cs="Arial"/>
                <w:color w:val="000000"/>
                <w:szCs w:val="20"/>
              </w:rPr>
              <w:t>isra</w:t>
            </w:r>
            <w:proofErr w:type="spellEnd"/>
            <w:r w:rsidR="004270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427033">
              <w:rPr>
                <w:rFonts w:ascii="Lucida Sans" w:eastAsia="Times New Roman" w:hAnsi="Lucida Sans" w:cs="Arial"/>
                <w:color w:val="000000"/>
                <w:szCs w:val="20"/>
              </w:rPr>
              <w:t>ilyas</w:t>
            </w:r>
            <w:proofErr w:type="spellEnd"/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344E42C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270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ISRA ILYAS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63352A7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4270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28.08.2020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7F9089EE" w:rsidR="007361BE" w:rsidRPr="00427033" w:rsidRDefault="007361BE" w:rsidP="00F1527D"/>
    <w:sectPr w:rsidR="007361BE" w:rsidRPr="00427033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34517" w14:textId="77777777" w:rsidR="009E252F" w:rsidRDefault="009E252F" w:rsidP="00AC47B4">
      <w:pPr>
        <w:spacing w:after="0" w:line="240" w:lineRule="auto"/>
      </w:pPr>
      <w:r>
        <w:separator/>
      </w:r>
    </w:p>
  </w:endnote>
  <w:endnote w:type="continuationSeparator" w:id="0">
    <w:p w14:paraId="206D13AA" w14:textId="77777777" w:rsidR="009E252F" w:rsidRDefault="009E252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FBF01" w14:textId="77777777" w:rsidR="009E252F" w:rsidRDefault="009E252F" w:rsidP="00AC47B4">
      <w:pPr>
        <w:spacing w:after="0" w:line="240" w:lineRule="auto"/>
      </w:pPr>
      <w:r>
        <w:separator/>
      </w:r>
    </w:p>
  </w:footnote>
  <w:footnote w:type="continuationSeparator" w:id="0">
    <w:p w14:paraId="61BB6C22" w14:textId="77777777" w:rsidR="009E252F" w:rsidRDefault="009E252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-19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4C8C"/>
    <w:multiLevelType w:val="hybridMultilevel"/>
    <w:tmpl w:val="12A82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6496F"/>
    <w:multiLevelType w:val="hybridMultilevel"/>
    <w:tmpl w:val="BB624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97272"/>
    <w:multiLevelType w:val="multilevel"/>
    <w:tmpl w:val="A9E8D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14A25"/>
    <w:multiLevelType w:val="hybridMultilevel"/>
    <w:tmpl w:val="BC86FC6A"/>
    <w:lvl w:ilvl="0" w:tplc="7E589698">
      <w:start w:val="2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B6141"/>
    <w:multiLevelType w:val="hybridMultilevel"/>
    <w:tmpl w:val="7A4AE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13C82"/>
    <w:multiLevelType w:val="hybridMultilevel"/>
    <w:tmpl w:val="3C7CEA76"/>
    <w:lvl w:ilvl="0" w:tplc="0E1A7EB4">
      <w:start w:val="2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8"/>
  </w:num>
  <w:num w:numId="4">
    <w:abstractNumId w:val="13"/>
  </w:num>
  <w:num w:numId="5">
    <w:abstractNumId w:val="15"/>
  </w:num>
  <w:num w:numId="6">
    <w:abstractNumId w:val="38"/>
  </w:num>
  <w:num w:numId="7">
    <w:abstractNumId w:val="21"/>
  </w:num>
  <w:num w:numId="8">
    <w:abstractNumId w:val="20"/>
  </w:num>
  <w:num w:numId="9">
    <w:abstractNumId w:val="27"/>
  </w:num>
  <w:num w:numId="10">
    <w:abstractNumId w:val="16"/>
  </w:num>
  <w:num w:numId="11">
    <w:abstractNumId w:val="23"/>
  </w:num>
  <w:num w:numId="12">
    <w:abstractNumId w:val="40"/>
  </w:num>
  <w:num w:numId="13">
    <w:abstractNumId w:val="22"/>
  </w:num>
  <w:num w:numId="14">
    <w:abstractNumId w:val="39"/>
  </w:num>
  <w:num w:numId="15">
    <w:abstractNumId w:val="1"/>
  </w:num>
  <w:num w:numId="16">
    <w:abstractNumId w:val="24"/>
  </w:num>
  <w:num w:numId="17">
    <w:abstractNumId w:val="12"/>
  </w:num>
  <w:num w:numId="18">
    <w:abstractNumId w:val="3"/>
  </w:num>
  <w:num w:numId="19">
    <w:abstractNumId w:val="19"/>
  </w:num>
  <w:num w:numId="20">
    <w:abstractNumId w:val="34"/>
  </w:num>
  <w:num w:numId="21">
    <w:abstractNumId w:val="7"/>
  </w:num>
  <w:num w:numId="22">
    <w:abstractNumId w:val="18"/>
  </w:num>
  <w:num w:numId="23">
    <w:abstractNumId w:val="35"/>
  </w:num>
  <w:num w:numId="24">
    <w:abstractNumId w:val="32"/>
  </w:num>
  <w:num w:numId="25">
    <w:abstractNumId w:val="9"/>
  </w:num>
  <w:num w:numId="26">
    <w:abstractNumId w:val="33"/>
  </w:num>
  <w:num w:numId="27">
    <w:abstractNumId w:val="5"/>
  </w:num>
  <w:num w:numId="28">
    <w:abstractNumId w:val="6"/>
  </w:num>
  <w:num w:numId="29">
    <w:abstractNumId w:val="26"/>
  </w:num>
  <w:num w:numId="30">
    <w:abstractNumId w:val="2"/>
  </w:num>
  <w:num w:numId="31">
    <w:abstractNumId w:val="25"/>
  </w:num>
  <w:num w:numId="32">
    <w:abstractNumId w:val="28"/>
  </w:num>
  <w:num w:numId="33">
    <w:abstractNumId w:val="37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</w:num>
  <w:num w:numId="38">
    <w:abstractNumId w:val="41"/>
  </w:num>
  <w:num w:numId="39">
    <w:abstractNumId w:val="14"/>
  </w:num>
  <w:num w:numId="40">
    <w:abstractNumId w:val="4"/>
  </w:num>
  <w:num w:numId="41">
    <w:abstractNumId w:val="30"/>
  </w:num>
  <w:num w:numId="42">
    <w:abstractNumId w:val="10"/>
  </w:num>
  <w:num w:numId="43">
    <w:abstractNumId w:val="31"/>
  </w:num>
  <w:num w:numId="44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484B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073F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033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252F"/>
    <w:rsid w:val="009E3539"/>
    <w:rsid w:val="009E38E0"/>
    <w:rsid w:val="009F036F"/>
    <w:rsid w:val="009F042A"/>
    <w:rsid w:val="009F0EF9"/>
    <w:rsid w:val="009F19A1"/>
    <w:rsid w:val="009F55D6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0CD9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2135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A2DFE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isra.eagn2k@gmail.com</cp:lastModifiedBy>
  <cp:revision>3</cp:revision>
  <cp:lastPrinted>2016-04-18T12:10:00Z</cp:lastPrinted>
  <dcterms:created xsi:type="dcterms:W3CDTF">2020-08-12T18:31:00Z</dcterms:created>
  <dcterms:modified xsi:type="dcterms:W3CDTF">2020-08-28T13:43:00Z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