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5D8C1FDD" w:rsidR="000954A2" w:rsidRPr="000954A2" w:rsidRDefault="00AF340B" w:rsidP="000954A2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  <w:vertAlign w:val="superscript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Wildlife Soc x SUSAC Rock Pooling Trip to Kimmeridge </w:t>
            </w:r>
            <w:r w:rsidR="000954A2">
              <w:rPr>
                <w:rFonts w:ascii="Verdana" w:hAnsi="Verdana"/>
                <w:b/>
                <w:color w:val="000000" w:themeColor="text1"/>
              </w:rPr>
              <w:t>Bay – Sunday, November 9</w:t>
            </w:r>
            <w:r w:rsidR="000954A2" w:rsidRPr="000954A2">
              <w:rPr>
                <w:rFonts w:ascii="Verdana" w:hAnsi="Verdana"/>
                <w:b/>
                <w:color w:val="000000" w:themeColor="text1"/>
                <w:vertAlign w:val="superscript"/>
              </w:rPr>
              <w:t>th</w:t>
            </w:r>
            <w:r w:rsidR="000954A2">
              <w:rPr>
                <w:rFonts w:ascii="Verdana" w:hAnsi="Verdana"/>
                <w:b/>
                <w:color w:val="000000" w:themeColor="text1"/>
              </w:rPr>
              <w:t xml:space="preserve">, 13:00-18:00 </w:t>
            </w:r>
            <w:r w:rsidR="00FC38F9">
              <w:rPr>
                <w:rFonts w:ascii="Verdana" w:hAnsi="Verdana"/>
                <w:b/>
                <w:color w:val="000000" w:themeColor="text1"/>
              </w:rPr>
              <w:t>via rented minibuses</w:t>
            </w:r>
          </w:p>
        </w:tc>
        <w:tc>
          <w:tcPr>
            <w:tcW w:w="319" w:type="pct"/>
          </w:tcPr>
          <w:p w14:paraId="3C5F03FE" w14:textId="3CAB19E9" w:rsidR="00A156C3" w:rsidRPr="000954A2" w:rsidRDefault="000954A2" w:rsidP="000954A2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 xml:space="preserve"> </w:t>
            </w:r>
            <w:r w:rsidR="00A156C3" w:rsidRPr="000954A2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A7F58FA" w:rsidR="00A156C3" w:rsidRPr="00D30CB6" w:rsidRDefault="004D707A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</w:rPr>
              <w:t>21/10/25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83E1733" w:rsidR="00A156C3" w:rsidRPr="006762D2" w:rsidRDefault="00294CF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Wildlife Society and SUSAC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0216D2DD" w:rsidR="00A156C3" w:rsidRPr="00795D2B" w:rsidRDefault="00294CF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</w:rPr>
              <w:t>Maria Victoria Arias Rodriguez</w:t>
            </w:r>
            <w:r w:rsidR="008C5788">
              <w:rPr>
                <w:rFonts w:ascii="Verdana" w:eastAsia="Verdana" w:hAnsi="Verdana" w:cs="Verdana"/>
                <w:b/>
                <w:color w:val="000000" w:themeColor="text1"/>
              </w:rPr>
              <w:t xml:space="preserve"> (Social &amp; Welfare Officer)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D4841D8" w:rsidR="00EB5320" w:rsidRPr="00294CF3" w:rsidRDefault="00294CF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 xml:space="preserve">Isobel Hayes </w:t>
            </w:r>
            <w:r w:rsidR="000D0A27"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and Jamie Taylor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680EB6D0" w14:textId="77777777" w:rsidR="00EB5320" w:rsidRDefault="00EB5320" w:rsidP="1895ADEC">
            <w:pPr>
              <w:ind w:left="170"/>
              <w:rPr>
                <w:rFonts w:ascii="Verdana" w:eastAsia="Verdana" w:hAnsi="Verdana" w:cs="Verdana"/>
                <w:color w:val="000000" w:themeColor="text1"/>
              </w:rPr>
            </w:pPr>
          </w:p>
          <w:p w14:paraId="5E38A747" w14:textId="77777777" w:rsidR="00A4084C" w:rsidRDefault="00A4084C" w:rsidP="1895ADEC">
            <w:pPr>
              <w:ind w:left="170"/>
              <w:rPr>
                <w:rFonts w:ascii="Verdana" w:eastAsia="Verdana" w:hAnsi="Verdana" w:cs="Verdana"/>
                <w:color w:val="000000" w:themeColor="text1"/>
              </w:rPr>
            </w:pPr>
          </w:p>
          <w:p w14:paraId="3C5F040A" w14:textId="7C774546" w:rsidR="00A4084C" w:rsidRPr="002022C4" w:rsidRDefault="00A4084C" w:rsidP="1895ADEC">
            <w:pPr>
              <w:ind w:left="170"/>
              <w:rPr>
                <w:rFonts w:ascii="Verdana" w:eastAsia="Verdana" w:hAnsi="Verdana" w:cs="Verdana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51F8B88F" w14:textId="26FA5364" w:rsidR="004F557D" w:rsidRDefault="00781848" w:rsidP="004F557D">
      <w:pPr>
        <w:pStyle w:val="ListParagraph"/>
        <w:numPr>
          <w:ilvl w:val="0"/>
          <w:numId w:val="15"/>
        </w:numPr>
      </w:pPr>
      <w:r>
        <w:t xml:space="preserve">A Rock Pooling Trip to </w:t>
      </w:r>
      <w:r w:rsidR="004F557D">
        <w:t>Kimmeridge</w:t>
      </w:r>
      <w:r>
        <w:t xml:space="preserve"> Bay</w:t>
      </w:r>
      <w:r w:rsidR="004F557D">
        <w:t xml:space="preserve"> – On Sunday, November 9</w:t>
      </w:r>
      <w:r w:rsidR="004F557D" w:rsidRPr="004F557D">
        <w:rPr>
          <w:vertAlign w:val="superscript"/>
        </w:rPr>
        <w:t>th</w:t>
      </w:r>
      <w:r w:rsidR="004F557D">
        <w:t xml:space="preserve"> from 13:00 – 18:00 via rented </w:t>
      </w:r>
      <w:r w:rsidR="00D84F81">
        <w:t>minibuses</w:t>
      </w:r>
    </w:p>
    <w:p w14:paraId="1E11A40A" w14:textId="7F4A536A" w:rsidR="004F557D" w:rsidRDefault="00E20CEB" w:rsidP="00E20CEB">
      <w:pPr>
        <w:pStyle w:val="ListParagraph"/>
        <w:numPr>
          <w:ilvl w:val="1"/>
          <w:numId w:val="15"/>
        </w:numPr>
      </w:pPr>
      <w:r>
        <w:t>We leave Highfield Campus at 13:00</w:t>
      </w:r>
      <w:r w:rsidR="00D84F81">
        <w:t>, stay</w:t>
      </w:r>
      <w:r>
        <w:t xml:space="preserve"> </w:t>
      </w:r>
      <w:r w:rsidR="004F557D">
        <w:t>in the Kimmeridge area</w:t>
      </w:r>
      <w:r>
        <w:t>, return to campus around 18:00</w:t>
      </w:r>
    </w:p>
    <w:p w14:paraId="5443082D" w14:textId="2DF309BD" w:rsidR="0073736D" w:rsidRDefault="0073736D" w:rsidP="004F557D">
      <w:pPr>
        <w:pStyle w:val="ListParagraph"/>
        <w:numPr>
          <w:ilvl w:val="0"/>
          <w:numId w:val="15"/>
        </w:numPr>
      </w:pPr>
      <w:r>
        <w:t>27 people attending – 10 of which are committee</w:t>
      </w:r>
    </w:p>
    <w:p w14:paraId="49D85DED" w14:textId="77288C35" w:rsidR="0073736D" w:rsidRDefault="0050483F" w:rsidP="004F557D">
      <w:pPr>
        <w:pStyle w:val="ListParagraph"/>
        <w:numPr>
          <w:ilvl w:val="0"/>
          <w:numId w:val="15"/>
        </w:numPr>
      </w:pPr>
      <w:r>
        <w:t xml:space="preserve">Tickets are £10 pound for </w:t>
      </w:r>
      <w:r w:rsidR="003800FD">
        <w:t>transport</w:t>
      </w:r>
    </w:p>
    <w:p w14:paraId="007B0A34" w14:textId="3098C353" w:rsidR="003800FD" w:rsidRDefault="00B43182" w:rsidP="004F557D">
      <w:pPr>
        <w:pStyle w:val="ListParagraph"/>
        <w:numPr>
          <w:ilvl w:val="0"/>
          <w:numId w:val="15"/>
        </w:numPr>
      </w:pPr>
      <w:r>
        <w:t xml:space="preserve">Members have been informed to bring sturdy boots or wellies, their own drinks and snacks, </w:t>
      </w:r>
      <w:r w:rsidR="00A4084C">
        <w:t xml:space="preserve">and </w:t>
      </w:r>
      <w:r>
        <w:t>medication they might need during the trip</w:t>
      </w:r>
      <w:r w:rsidR="00A4084C">
        <w:t xml:space="preserve">. </w:t>
      </w:r>
      <w:r w:rsidR="00FC5073">
        <w:t xml:space="preserve">Pen and notebooks and field guides are optional if they want to write down observations </w:t>
      </w:r>
    </w:p>
    <w:p w14:paraId="266C561F" w14:textId="7B0EF5DF" w:rsidR="00321A91" w:rsidRPr="00DF516A" w:rsidRDefault="00A04A6B" w:rsidP="00DF516A">
      <w:pPr>
        <w:pStyle w:val="ListParagraph"/>
        <w:numPr>
          <w:ilvl w:val="0"/>
          <w:numId w:val="15"/>
        </w:numPr>
      </w:pPr>
      <w:r>
        <w:t xml:space="preserve">Once the members have signed up, a google form will be sent out to gather medication requirements, allergies, </w:t>
      </w:r>
      <w:r w:rsidR="00DF516A">
        <w:t xml:space="preserve">and emergency contacts, to have in case. </w:t>
      </w:r>
      <w:r w:rsidR="00D30CB6">
        <w:t xml:space="preserve">Following GDPR </w:t>
      </w:r>
      <w:r w:rsidR="00D84F81">
        <w:t>guidelines.</w:t>
      </w: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938"/>
        <w:gridCol w:w="482"/>
        <w:gridCol w:w="482"/>
        <w:gridCol w:w="482"/>
        <w:gridCol w:w="3092"/>
        <w:gridCol w:w="482"/>
        <w:gridCol w:w="482"/>
        <w:gridCol w:w="482"/>
        <w:gridCol w:w="3291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0954A2">
        <w:trPr>
          <w:tblHeader/>
        </w:trPr>
        <w:tc>
          <w:tcPr>
            <w:tcW w:w="194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7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8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0954A2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0954A2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2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3873B612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  <w:r w:rsidR="00FC38F9">
              <w:rPr>
                <w:rFonts w:eastAsiaTheme="minorEastAsia"/>
              </w:rPr>
              <w:t>from Rock pooling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196CF3F2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Accident and/or </w:t>
            </w:r>
            <w:r w:rsidR="00BE3D07">
              <w:rPr>
                <w:rFonts w:eastAsiaTheme="minorEastAsia"/>
              </w:rPr>
              <w:t xml:space="preserve">light/serious </w:t>
            </w:r>
            <w:r w:rsidRPr="321BD48B">
              <w:rPr>
                <w:rFonts w:eastAsiaTheme="minorEastAsia"/>
              </w:rPr>
              <w:t>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73677529" w:rsidR="00CE1AAA" w:rsidRPr="00957A37" w:rsidRDefault="00BE3D0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10DCC1BB" w:rsidR="00CE1AAA" w:rsidRPr="00957A37" w:rsidRDefault="00BE3D07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1005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3183ABA" w14:textId="77777777" w:rsidR="00BE3D07" w:rsidRPr="00BE3D0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</w:t>
            </w:r>
            <w:r w:rsidR="00BE3D07">
              <w:rPr>
                <w:rFonts w:eastAsiaTheme="minorEastAsia"/>
                <w:color w:val="000000" w:themeColor="text1"/>
                <w:lang w:eastAsia="en-GB"/>
              </w:rPr>
              <w:t>slippery spots</w:t>
            </w:r>
          </w:p>
          <w:p w14:paraId="1EB4A922" w14:textId="2BEBE0B5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2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49FFA32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</w:t>
            </w:r>
            <w:r w:rsidR="000954A2">
              <w:rPr>
                <w:rFonts w:eastAsiaTheme="minorEastAsia"/>
              </w:rPr>
              <w:t>transport</w:t>
            </w:r>
            <w:r w:rsidRPr="321BD48B">
              <w:rPr>
                <w:rFonts w:eastAsiaTheme="minorEastAsia"/>
              </w:rPr>
              <w:t xml:space="preserve"> there or back</w:t>
            </w:r>
            <w:r w:rsidR="00BE3D07">
              <w:rPr>
                <w:rFonts w:eastAsiaTheme="minorEastAsia"/>
              </w:rPr>
              <w:t>/getting left behind</w:t>
            </w:r>
          </w:p>
        </w:tc>
        <w:tc>
          <w:tcPr>
            <w:tcW w:w="584" w:type="pct"/>
            <w:shd w:val="clear" w:color="auto" w:fill="FFFFFF" w:themeFill="background1"/>
          </w:tcPr>
          <w:p w14:paraId="309045A6" w14:textId="465D7B04" w:rsidR="009C07DB" w:rsidRPr="00BE3D07" w:rsidRDefault="00BE3D07" w:rsidP="00BE3D07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0FE8C811" w14:textId="2FB394A2" w:rsidR="00BE3D07" w:rsidRPr="00BE3D07" w:rsidRDefault="00BE3D07" w:rsidP="00BE3D07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</w:rPr>
              <w:t>Remind member to have data and a charged phone</w:t>
            </w:r>
          </w:p>
          <w:p w14:paraId="1D709FF1" w14:textId="769E26F5" w:rsidR="00BE3D07" w:rsidRDefault="00BE3D07" w:rsidP="00BE3D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Group chat for committee and members attending the trip will have a live location tagged of one committee member</w:t>
            </w:r>
          </w:p>
          <w:p w14:paraId="18073C5A" w14:textId="4B845D9D" w:rsidR="00BE3D07" w:rsidRPr="00BE3D07" w:rsidRDefault="00BE3D07" w:rsidP="00BE3D0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Constant reminders sent through the group chat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2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109C6F0E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</w:t>
            </w:r>
            <w:r w:rsidR="00BE3D07">
              <w:rPr>
                <w:rFonts w:eastAsiaTheme="minorEastAsia"/>
              </w:rPr>
              <w:t xml:space="preserve">(i.e. minibus travel there and back, breaks </w:t>
            </w:r>
            <w:proofErr w:type="gramStart"/>
            <w:r w:rsidR="00BE3D07">
              <w:rPr>
                <w:rFonts w:eastAsiaTheme="minorEastAsia"/>
              </w:rPr>
              <w:t>in  between</w:t>
            </w:r>
            <w:proofErr w:type="gramEnd"/>
            <w:r w:rsidR="00BE3D07">
              <w:rPr>
                <w:rFonts w:eastAsiaTheme="minorEastAsia"/>
              </w:rPr>
              <w:t>)</w:t>
            </w:r>
            <w:r w:rsidRPr="321BD48B">
              <w:rPr>
                <w:rFonts w:eastAsiaTheme="minorEastAsia"/>
              </w:rPr>
              <w:t xml:space="preserve"> </w:t>
            </w:r>
          </w:p>
        </w:tc>
      </w:tr>
      <w:tr w:rsidR="00486BA2" w14:paraId="5281552A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75A9D29F" w14:textId="1C7657D8" w:rsidR="00486BA2" w:rsidRPr="005A607F" w:rsidRDefault="00BE3D07" w:rsidP="00BE3D07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631546F9" w14:textId="1D2F6165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</w:t>
            </w:r>
            <w:r w:rsidR="00FC38F9">
              <w:rPr>
                <w:rFonts w:eastAsiaTheme="minorEastAsia"/>
                <w:color w:val="000000" w:themeColor="text1"/>
                <w:lang w:eastAsia="en-GB"/>
              </w:rPr>
              <w:t xml:space="preserve">travel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7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2" w:type="pct"/>
            <w:shd w:val="clear" w:color="auto" w:fill="FFFFFF" w:themeFill="background1"/>
          </w:tcPr>
          <w:p w14:paraId="4801719B" w14:textId="199CB1B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</w:t>
            </w:r>
            <w:r w:rsidR="00FC38F9">
              <w:rPr>
                <w:rFonts w:eastAsiaTheme="minorEastAsia"/>
                <w:color w:val="000000" w:themeColor="text1"/>
                <w:lang w:eastAsia="en-GB"/>
              </w:rPr>
              <w:t>travel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r w:rsidR="00BE3D07" w:rsidRPr="643F9554">
              <w:rPr>
                <w:rFonts w:eastAsiaTheme="minorEastAsia"/>
                <w:color w:val="000000" w:themeColor="text1"/>
                <w:lang w:eastAsia="en-GB"/>
              </w:rPr>
              <w:t>times to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184963AB" w14:textId="52A75B8F" w:rsidR="00486BA2" w:rsidRPr="005A607F" w:rsidRDefault="00486BA2" w:rsidP="00FC38F9">
            <w:pPr>
              <w:pStyle w:val="ListParagraph"/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0954A2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14:paraId="55D797B0" w14:textId="7FB90CD9" w:rsidR="00980BA8" w:rsidRDefault="00BE3D07" w:rsidP="00795D2B">
            <w:pPr>
              <w:pStyle w:val="ListParagraph"/>
              <w:numPr>
                <w:ilvl w:val="0"/>
                <w:numId w:val="14"/>
              </w:numPr>
            </w:pPr>
            <w:r>
              <w:t>Committee and members attending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2" w:type="pct"/>
            <w:shd w:val="clear" w:color="auto" w:fill="FFFFFF" w:themeFill="background1"/>
          </w:tcPr>
          <w:p w14:paraId="7F2CED30" w14:textId="478E3680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</w:t>
            </w:r>
            <w:r w:rsidR="00BE3D07">
              <w:rPr>
                <w:rFonts w:eastAsiaTheme="minorEastAsia"/>
                <w:color w:val="000000" w:themeColor="text1"/>
                <w:lang w:eastAsia="en-GB"/>
              </w:rPr>
              <w:t>creating a route throughout the Bay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665E1BB3" w:rsidR="005D1D23" w:rsidRPr="005A607F" w:rsidRDefault="00BE3D07" w:rsidP="00795D2B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Committee and members attending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28A46F26" w14:textId="092A3513" w:rsidR="10C3B018" w:rsidRDefault="00BE3D07" w:rsidP="00F22F73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eastAsiaTheme="minorEastAsia"/>
              </w:rPr>
              <w:t>Minib</w:t>
            </w:r>
            <w:r w:rsidR="4CF01BED" w:rsidRPr="3E3592D8">
              <w:rPr>
                <w:rFonts w:eastAsiaTheme="minorEastAsia"/>
              </w:rPr>
              <w:t xml:space="preserve">uses </w:t>
            </w:r>
            <w:r>
              <w:rPr>
                <w:rFonts w:eastAsiaTheme="minorEastAsia"/>
              </w:rPr>
              <w:t xml:space="preserve">rented will </w:t>
            </w:r>
            <w:proofErr w:type="gramStart"/>
            <w:r>
              <w:rPr>
                <w:rFonts w:eastAsiaTheme="minorEastAsia"/>
              </w:rPr>
              <w:t xml:space="preserve">have </w:t>
            </w:r>
            <w:r w:rsidR="4CF01BED" w:rsidRPr="3E3592D8">
              <w:rPr>
                <w:rFonts w:eastAsiaTheme="minorEastAsia"/>
              </w:rPr>
              <w:t xml:space="preserve"> seatbelts</w:t>
            </w:r>
            <w:proofErr w:type="gramEnd"/>
            <w:r w:rsidR="4CF01BED" w:rsidRPr="3E3592D8">
              <w:rPr>
                <w:rFonts w:eastAsiaTheme="minorEastAsia"/>
              </w:rPr>
              <w:t xml:space="preserve"> </w:t>
            </w:r>
          </w:p>
          <w:p w14:paraId="38FB65D3" w14:textId="3FAABD89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</w:t>
            </w:r>
            <w:r w:rsidR="00BE3D07">
              <w:rPr>
                <w:rFonts w:eastAsiaTheme="minorEastAsia"/>
              </w:rPr>
              <w:t>.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2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300F7373" w14:textId="77777777" w:rsidR="003C2554" w:rsidRPr="005A607F" w:rsidRDefault="003C2554" w:rsidP="003C2554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Committee and members attending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730E052C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2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7BE95E9E" w14:textId="77777777" w:rsidR="003C2554" w:rsidRPr="005A607F" w:rsidRDefault="003C2554" w:rsidP="003C2554">
            <w:pPr>
              <w:pStyle w:val="ListParagraph"/>
              <w:numPr>
                <w:ilvl w:val="0"/>
                <w:numId w:val="21"/>
              </w:numPr>
            </w:pPr>
            <w:r>
              <w:rPr>
                <w:rFonts w:eastAsiaTheme="minorEastAsia"/>
              </w:rPr>
              <w:t>Committee and members attending</w:t>
            </w:r>
          </w:p>
          <w:p w14:paraId="3C5F0446" w14:textId="1F149667" w:rsidR="002E2C00" w:rsidRPr="00F22F73" w:rsidRDefault="550992A8" w:rsidP="003C2554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2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C2E716E" w14:textId="77777777" w:rsidR="003C2554" w:rsidRPr="005A607F" w:rsidRDefault="003C2554" w:rsidP="003C2554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Committee and members attending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3C5F0456" w14:textId="691E35D0" w:rsidR="002E2C00" w:rsidRPr="003C2554" w:rsidRDefault="3D677D1F" w:rsidP="003C2554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2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1763858E" w14:textId="17499A4B" w:rsidR="003C2554" w:rsidRDefault="5AE8FB2A" w:rsidP="003C2554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30D574BB" w:rsidR="002E2C00" w:rsidRDefault="003C2554" w:rsidP="003C2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Make sure the person who lost the item is okay refer to them to university resources for help </w:t>
            </w:r>
          </w:p>
        </w:tc>
      </w:tr>
      <w:tr w:rsidR="00CE1AAA" w14:paraId="3C5F0467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FA482D5" w14:textId="77777777" w:rsidR="003C2554" w:rsidRPr="005A607F" w:rsidRDefault="003C2554" w:rsidP="003C2554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Committee and members attending</w:t>
            </w:r>
          </w:p>
          <w:p w14:paraId="3C5F045E" w14:textId="028DA94C" w:rsidR="002E2C00" w:rsidRDefault="002E2C00" w:rsidP="003C2554">
            <w:pPr>
              <w:pStyle w:val="ListParagraph"/>
            </w:pPr>
          </w:p>
        </w:tc>
        <w:tc>
          <w:tcPr>
            <w:tcW w:w="15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13997F39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</w:t>
            </w:r>
            <w:r w:rsidR="003C2554">
              <w:rPr>
                <w:rFonts w:eastAsiaTheme="minorEastAsia"/>
                <w:color w:val="000000" w:themeColor="text1"/>
                <w:lang w:eastAsia="en-GB"/>
              </w:rPr>
              <w:t xml:space="preserve"> via </w:t>
            </w:r>
            <w:r w:rsidR="003C2554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2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2B2756B" w14:textId="77777777" w:rsidR="003C2554" w:rsidRPr="005A607F" w:rsidRDefault="003C2554" w:rsidP="003C2554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>Committee and members attending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6E" w14:textId="4D64B055" w:rsidR="005D1D23" w:rsidRPr="003C2554" w:rsidRDefault="72225A19" w:rsidP="003C2554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</w:tc>
        <w:tc>
          <w:tcPr>
            <w:tcW w:w="157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2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5FBAD355" w14:textId="77777777" w:rsidR="003C2554" w:rsidRDefault="01065600" w:rsidP="003C2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4941AD13" w14:textId="3D57789C" w:rsidR="005D1D23" w:rsidRPr="003C2554" w:rsidRDefault="1A1861DC" w:rsidP="003C2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003C2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003C2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321BD48B" w14:paraId="3BCE66F3" w14:textId="77777777" w:rsidTr="000954A2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1F9C67E0" w:rsidR="1D7DC0A2" w:rsidRPr="008A579A" w:rsidRDefault="008A579A" w:rsidP="008A579A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345BBC56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participants to bring enough medication for trip duration and include ingredients list, packaging 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12" w:type="pct"/>
            <w:shd w:val="clear" w:color="auto" w:fill="FFFFFF" w:themeFill="background1"/>
          </w:tcPr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5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00F22F73" w14:paraId="79A789E5" w14:textId="77777777" w:rsidTr="000954A2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392B798E" w14:textId="3F21DEF9" w:rsidR="00F22F73" w:rsidRPr="000954A2" w:rsidRDefault="000954A2" w:rsidP="00F22F73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Animal Bites/Stings/Scratches</w:t>
            </w:r>
          </w:p>
        </w:tc>
        <w:tc>
          <w:tcPr>
            <w:tcW w:w="600" w:type="pct"/>
            <w:shd w:val="clear" w:color="auto" w:fill="FFFFFF" w:themeFill="background1"/>
          </w:tcPr>
          <w:p w14:paraId="1961F7EF" w14:textId="7292AF72" w:rsidR="00F22F73" w:rsidRDefault="00483188" w:rsidP="00F22F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Minor or major injuries</w:t>
            </w:r>
          </w:p>
        </w:tc>
        <w:tc>
          <w:tcPr>
            <w:tcW w:w="584" w:type="pct"/>
            <w:shd w:val="clear" w:color="auto" w:fill="FFFFFF" w:themeFill="background1"/>
          </w:tcPr>
          <w:p w14:paraId="06FA5370" w14:textId="65C2FB25" w:rsidR="00F22F73" w:rsidRDefault="008A579A" w:rsidP="00F22F7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7C79C606" w14:textId="5EAD69C7" w:rsidR="00F22F73" w:rsidRDefault="00762FA0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5FEE8C0" w14:textId="3DBFDB8C" w:rsidR="00F22F73" w:rsidRDefault="00762FA0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DCBB85F" w14:textId="016F5960" w:rsidR="00F22F73" w:rsidRDefault="00762FA0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12EFDEF9" w14:textId="7674A783" w:rsidR="00762FA0" w:rsidRDefault="00762FA0" w:rsidP="00762FA0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will warn members to</w:t>
            </w:r>
            <w:r w:rsidRPr="00203F5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move</w:t>
            </w:r>
            <w:r w:rsidRPr="00203F54">
              <w:rPr>
                <w:rFonts w:ascii="Arial" w:hAnsi="Arial" w:cs="Arial"/>
              </w:rPr>
              <w:t xml:space="preserve"> slowly and carefully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 not to disturb the ecosystem/wildlife</w:t>
            </w:r>
          </w:p>
          <w:p w14:paraId="1749BE17" w14:textId="1D57082A" w:rsidR="00762FA0" w:rsidRPr="00203F54" w:rsidRDefault="00762FA0" w:rsidP="00762FA0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Committee will show how to find and observe </w:t>
            </w:r>
            <w:r>
              <w:rPr>
                <w:rFonts w:ascii="Arial" w:hAnsi="Arial" w:cs="Arial"/>
              </w:rPr>
              <w:t xml:space="preserve">rock pool </w:t>
            </w:r>
          </w:p>
          <w:p w14:paraId="556EB11D" w14:textId="377D5833" w:rsidR="00762FA0" w:rsidRPr="00203F54" w:rsidRDefault="00762FA0" w:rsidP="00762FA0">
            <w:pPr>
              <w:numPr>
                <w:ilvl w:val="0"/>
                <w:numId w:val="28"/>
              </w:numPr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lastRenderedPageBreak/>
              <w:t>Everyone attending will be told</w:t>
            </w:r>
            <w:r w:rsidRPr="00203F54">
              <w:rPr>
                <w:rFonts w:ascii="Arial" w:eastAsia="Times New Roman" w:hAnsi="Arial" w:cs="Arial"/>
                <w:color w:val="000000"/>
              </w:rPr>
              <w:t xml:space="preserve"> wash</w:t>
            </w:r>
            <w:r>
              <w:rPr>
                <w:rFonts w:ascii="Arial" w:eastAsia="Times New Roman" w:hAnsi="Arial" w:cs="Arial"/>
                <w:color w:val="000000"/>
              </w:rPr>
              <w:t>/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 xml:space="preserve">sanitize </w:t>
            </w:r>
            <w:r w:rsidRPr="00203F54">
              <w:rPr>
                <w:rFonts w:ascii="Arial" w:eastAsia="Times New Roman" w:hAnsi="Arial" w:cs="Arial"/>
                <w:color w:val="000000"/>
              </w:rPr>
              <w:t xml:space="preserve"> their</w:t>
            </w:r>
            <w:proofErr w:type="gramEnd"/>
            <w:r w:rsidRPr="00203F54">
              <w:rPr>
                <w:rFonts w:ascii="Arial" w:eastAsia="Times New Roman" w:hAnsi="Arial" w:cs="Arial"/>
                <w:color w:val="000000"/>
              </w:rPr>
              <w:t xml:space="preserve"> hands afterwards</w:t>
            </w:r>
          </w:p>
          <w:p w14:paraId="7F7D3CC9" w14:textId="5C81A822" w:rsidR="00F22F73" w:rsidRPr="00F22F73" w:rsidRDefault="00F22F73" w:rsidP="00762FA0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CFAA1DB" w14:textId="27C46D73" w:rsidR="00F22F73" w:rsidRDefault="00762FA0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AA2EF1D" w14:textId="35A7A9C0" w:rsidR="00F22F73" w:rsidRDefault="00762FA0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F527E4C" w14:textId="7C27E8F9" w:rsidR="00F22F73" w:rsidRDefault="00762FA0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2" w:type="pct"/>
            <w:shd w:val="clear" w:color="auto" w:fill="FFFFFF" w:themeFill="background1"/>
          </w:tcPr>
          <w:p w14:paraId="7CF22BBA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71848656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422968B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</w:t>
            </w:r>
            <w:r w:rsidRPr="643F9554">
              <w:rPr>
                <w:rFonts w:eastAsiaTheme="minorEastAsia"/>
              </w:rPr>
              <w:lastRenderedPageBreak/>
              <w:t xml:space="preserve">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4E4C6C0D" w14:textId="361A574F" w:rsidR="00F22F73" w:rsidRPr="00F22F73" w:rsidRDefault="00F22F73" w:rsidP="008A579A">
            <w:pPr>
              <w:pStyle w:val="ListParagraph"/>
              <w:rPr>
                <w:rFonts w:eastAsiaTheme="minorEastAsia"/>
              </w:rPr>
            </w:pPr>
          </w:p>
        </w:tc>
      </w:tr>
      <w:tr w:rsidR="000954A2" w14:paraId="17EDC1BB" w14:textId="77777777" w:rsidTr="000954A2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73AB2BD7" w14:textId="443344C5" w:rsidR="000954A2" w:rsidRDefault="000954A2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Environmental changes</w:t>
            </w:r>
          </w:p>
        </w:tc>
        <w:tc>
          <w:tcPr>
            <w:tcW w:w="600" w:type="pct"/>
            <w:shd w:val="clear" w:color="auto" w:fill="FFFFFF" w:themeFill="background1"/>
          </w:tcPr>
          <w:p w14:paraId="08BDD8CF" w14:textId="0CF4FA14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Arial" w:hAnsi="Arial" w:cs="Arial"/>
              </w:rPr>
              <w:t>Leading to a variety of incidents and accidents through failure to notice changes and adapt practice</w:t>
            </w:r>
          </w:p>
        </w:tc>
        <w:tc>
          <w:tcPr>
            <w:tcW w:w="584" w:type="pct"/>
            <w:shd w:val="clear" w:color="auto" w:fill="FFFFFF" w:themeFill="background1"/>
          </w:tcPr>
          <w:p w14:paraId="763340DB" w14:textId="15C0F7AB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274C1296" w14:textId="22114A16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71D617" w14:textId="7EB1498E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62F02C7" w14:textId="725FB88E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1005" w:type="pct"/>
            <w:shd w:val="clear" w:color="auto" w:fill="FFFFFF" w:themeFill="background1"/>
          </w:tcPr>
          <w:p w14:paraId="763B355D" w14:textId="1AB46D0C" w:rsidR="008A579A" w:rsidRPr="00E34EB6" w:rsidRDefault="008A579A" w:rsidP="008A579A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Site appraisal undertaken prior to beach visits to ensure beach is suitable for</w:t>
            </w:r>
            <w:r>
              <w:rPr>
                <w:rFonts w:ascii="Arial" w:hAnsi="Arial" w:cs="Arial"/>
              </w:rPr>
              <w:t xml:space="preserve"> members</w:t>
            </w:r>
            <w:r w:rsidRPr="00E34EB6">
              <w:rPr>
                <w:rFonts w:ascii="Arial" w:hAnsi="Arial" w:cs="Arial"/>
              </w:rPr>
              <w:t xml:space="preserve"> and key hazards considered.</w:t>
            </w:r>
          </w:p>
          <w:p w14:paraId="587B1650" w14:textId="77777777" w:rsidR="008A579A" w:rsidRPr="00E34EB6" w:rsidRDefault="008A579A" w:rsidP="008A579A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Daily site check undertaken which takes account of the following</w:t>
            </w:r>
          </w:p>
          <w:p w14:paraId="0513D9B3" w14:textId="77777777" w:rsidR="008A579A" w:rsidRPr="00203F54" w:rsidRDefault="008A579A" w:rsidP="008A579A">
            <w:pPr>
              <w:numPr>
                <w:ilvl w:val="0"/>
                <w:numId w:val="23"/>
              </w:numPr>
              <w:ind w:left="643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E34EB6">
              <w:rPr>
                <w:rFonts w:ascii="Arial" w:hAnsi="Arial" w:cs="Arial"/>
              </w:rPr>
              <w:t>Tide times</w:t>
            </w:r>
            <w:r>
              <w:rPr>
                <w:rFonts w:ascii="Arial" w:hAnsi="Arial" w:cs="Arial"/>
              </w:rPr>
              <w:t xml:space="preserve">, heights, range and whether it is rising or falling, and potential impact on group activities. </w:t>
            </w:r>
            <w:r w:rsidRPr="00203F54">
              <w:rPr>
                <w:rFonts w:ascii="Arial" w:eastAsia="Times New Roman" w:hAnsi="Arial" w:cs="Arial"/>
                <w:color w:val="000000"/>
              </w:rPr>
              <w:t xml:space="preserve">Daily tide check undertaken prior to visit </w:t>
            </w:r>
          </w:p>
          <w:p w14:paraId="65936B50" w14:textId="77777777" w:rsidR="008A579A" w:rsidRPr="003C3981" w:rsidRDefault="008A579A" w:rsidP="008A579A">
            <w:pPr>
              <w:numPr>
                <w:ilvl w:val="0"/>
                <w:numId w:val="23"/>
              </w:numPr>
              <w:ind w:left="643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</w:t>
            </w:r>
            <w:r w:rsidRPr="00203F54">
              <w:rPr>
                <w:rFonts w:ascii="Arial" w:eastAsia="Times New Roman" w:hAnsi="Arial" w:cs="Arial"/>
                <w:color w:val="000000"/>
              </w:rPr>
              <w:t>resence of rip tides or currents.</w:t>
            </w:r>
          </w:p>
          <w:p w14:paraId="6388BA3F" w14:textId="77777777" w:rsidR="008A579A" w:rsidRPr="00E34EB6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Sufficiency of space above high tide for group to use</w:t>
            </w:r>
          </w:p>
          <w:p w14:paraId="0F5DE918" w14:textId="77777777" w:rsidR="008A579A" w:rsidRPr="00E34EB6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Sea conditions</w:t>
            </w:r>
          </w:p>
          <w:p w14:paraId="20C3E7E8" w14:textId="77777777" w:rsidR="008A579A" w:rsidRPr="00E34EB6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Shifting sand</w:t>
            </w:r>
          </w:p>
          <w:p w14:paraId="16A46CE0" w14:textId="77777777" w:rsidR="008A579A" w:rsidRPr="00E34EB6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Quantity and type of litter</w:t>
            </w:r>
          </w:p>
          <w:p w14:paraId="3CF18CB1" w14:textId="77777777" w:rsidR="008A579A" w:rsidRPr="006056EC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 w:rsidRPr="00E34EB6">
              <w:rPr>
                <w:rFonts w:ascii="Arial" w:hAnsi="Arial" w:cs="Arial"/>
              </w:rPr>
              <w:t>Prevailing weather conditions</w:t>
            </w:r>
            <w:r>
              <w:rPr>
                <w:rFonts w:ascii="Arial" w:hAnsi="Arial" w:cs="Arial"/>
              </w:rPr>
              <w:t xml:space="preserve">: </w:t>
            </w:r>
            <w:r w:rsidRPr="006056EC">
              <w:rPr>
                <w:rFonts w:ascii="Arial" w:hAnsi="Arial" w:cs="Arial"/>
              </w:rPr>
              <w:t xml:space="preserve">Wind will alter sea states and may interact with tidal streams or estuary currents. </w:t>
            </w:r>
          </w:p>
          <w:p w14:paraId="19AF2870" w14:textId="77777777" w:rsidR="008A579A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Freshly fallen debris from cliffs</w:t>
            </w:r>
          </w:p>
          <w:p w14:paraId="748A5EA3" w14:textId="01B1EE58" w:rsidR="000954A2" w:rsidRPr="008A579A" w:rsidRDefault="008A579A" w:rsidP="008A579A">
            <w:pPr>
              <w:pStyle w:val="ListParagraph"/>
              <w:numPr>
                <w:ilvl w:val="0"/>
                <w:numId w:val="23"/>
              </w:numPr>
              <w:ind w:left="643"/>
              <w:rPr>
                <w:rFonts w:ascii="Arial" w:hAnsi="Arial" w:cs="Arial"/>
              </w:rPr>
            </w:pPr>
            <w:r w:rsidRPr="00854202">
              <w:rPr>
                <w:rFonts w:ascii="Arial" w:hAnsi="Arial" w:cs="Arial"/>
              </w:rPr>
              <w:t>Location and presence of public safety equipment</w:t>
            </w:r>
          </w:p>
        </w:tc>
        <w:tc>
          <w:tcPr>
            <w:tcW w:w="157" w:type="pct"/>
            <w:shd w:val="clear" w:color="auto" w:fill="FFFFFF" w:themeFill="background1"/>
          </w:tcPr>
          <w:p w14:paraId="7B5D84F4" w14:textId="5D38160C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DC27A81" w14:textId="4BB2AAF1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8E27610" w14:textId="2054BE90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12" w:type="pct"/>
            <w:shd w:val="clear" w:color="auto" w:fill="FFFFFF" w:themeFill="background1"/>
          </w:tcPr>
          <w:p w14:paraId="6D790F20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58462DAB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1752DA4E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2D81D6D" w14:textId="77777777" w:rsidR="000954A2" w:rsidRPr="00F22F73" w:rsidRDefault="000954A2" w:rsidP="008A579A">
            <w:pPr>
              <w:pStyle w:val="ListParagraph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954A2" w14:paraId="1C74448C" w14:textId="77777777" w:rsidTr="000954A2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6E174F55" w14:textId="4EE984CA" w:rsidR="000954A2" w:rsidRDefault="000954A2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Water Quality</w:t>
            </w:r>
          </w:p>
        </w:tc>
        <w:tc>
          <w:tcPr>
            <w:tcW w:w="600" w:type="pct"/>
            <w:shd w:val="clear" w:color="auto" w:fill="FFFFFF" w:themeFill="background1"/>
          </w:tcPr>
          <w:p w14:paraId="0F4B6A8A" w14:textId="05C1AD89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Arial" w:hAnsi="Arial" w:cs="Arial"/>
              </w:rPr>
              <w:t>Leading to bacterial infection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5B42F0F2" w14:textId="11A7151D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32225253" w14:textId="57587991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9BD0EE5" w14:textId="23DB6CBD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14F151BE" w14:textId="33E7656E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3EBFAFBE" w14:textId="5BD6B7DD" w:rsidR="008A579A" w:rsidRPr="00B6557D" w:rsidRDefault="008A579A" w:rsidP="008A579A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 attending</w:t>
            </w:r>
            <w:r w:rsidRPr="00B655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are told</w:t>
            </w:r>
            <w:r w:rsidRPr="00B6557D">
              <w:rPr>
                <w:rFonts w:ascii="Arial" w:hAnsi="Arial" w:cs="Arial"/>
              </w:rPr>
              <w:t xml:space="preserve"> not to drink sea water. They bring their own water and/or other drinks.</w:t>
            </w:r>
          </w:p>
          <w:p w14:paraId="08D9A4BE" w14:textId="77777777" w:rsidR="000954A2" w:rsidRPr="008A579A" w:rsidRDefault="000954A2" w:rsidP="008A579A">
            <w:pPr>
              <w:rPr>
                <w:rFonts w:ascii="Calibri" w:eastAsia="Calibri" w:hAnsi="Calibri" w:cs="Calibri"/>
                <w:color w:val="FF0000"/>
                <w:sz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091C1C6" w14:textId="4F2AED79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2C39DFA" w14:textId="3CE523DB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5903983" w14:textId="3D9D6DCA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112" w:type="pct"/>
            <w:shd w:val="clear" w:color="auto" w:fill="FFFFFF" w:themeFill="background1"/>
          </w:tcPr>
          <w:p w14:paraId="460F997D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5F802168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18E7A2E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8FB518C" w14:textId="77777777" w:rsidR="000954A2" w:rsidRPr="008A579A" w:rsidRDefault="000954A2" w:rsidP="008A579A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954A2" w14:paraId="6D4FF2C2" w14:textId="77777777" w:rsidTr="000954A2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4094C8FD" w14:textId="56FB59CB" w:rsidR="000954A2" w:rsidRDefault="000954A2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Falling into Water</w:t>
            </w:r>
          </w:p>
        </w:tc>
        <w:tc>
          <w:tcPr>
            <w:tcW w:w="600" w:type="pct"/>
            <w:shd w:val="clear" w:color="auto" w:fill="FFFFFF" w:themeFill="background1"/>
          </w:tcPr>
          <w:p w14:paraId="26EF77AA" w14:textId="23A4519C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Arial" w:hAnsi="Arial" w:cs="Arial"/>
              </w:rPr>
              <w:t>shock</w:t>
            </w:r>
            <w:r w:rsidRPr="005018CE">
              <w:rPr>
                <w:rFonts w:ascii="Arial" w:hAnsi="Arial" w:cs="Arial"/>
              </w:rPr>
              <w:t>, hyp</w:t>
            </w:r>
            <w:r>
              <w:rPr>
                <w:rFonts w:ascii="Arial" w:hAnsi="Arial" w:cs="Arial"/>
              </w:rPr>
              <w:t>o</w:t>
            </w:r>
            <w:r w:rsidRPr="005018CE">
              <w:rPr>
                <w:rFonts w:ascii="Arial" w:hAnsi="Arial" w:cs="Arial"/>
              </w:rPr>
              <w:t>thermia, drowning</w:t>
            </w:r>
          </w:p>
        </w:tc>
        <w:tc>
          <w:tcPr>
            <w:tcW w:w="584" w:type="pct"/>
            <w:shd w:val="clear" w:color="auto" w:fill="FFFFFF" w:themeFill="background1"/>
          </w:tcPr>
          <w:p w14:paraId="4BCE81DC" w14:textId="51E1AF68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4C58AB3D" w14:textId="3335714D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0AE2698" w14:textId="53139E8D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40B4A1F" w14:textId="1D17AD8F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45518F39" w14:textId="5DD75AAA" w:rsidR="008A579A" w:rsidRPr="00854202" w:rsidRDefault="008A579A" w:rsidP="008A57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 w:rsidRPr="00854202">
              <w:rPr>
                <w:rFonts w:ascii="Arial" w:hAnsi="Arial" w:cs="Arial"/>
              </w:rPr>
              <w:t xml:space="preserve">Adequate supervision of </w:t>
            </w:r>
            <w:r>
              <w:rPr>
                <w:rFonts w:ascii="Arial" w:hAnsi="Arial" w:cs="Arial"/>
              </w:rPr>
              <w:t>members attending</w:t>
            </w:r>
          </w:p>
          <w:p w14:paraId="70EE8377" w14:textId="2C58697A" w:rsidR="008A579A" w:rsidRPr="00854202" w:rsidRDefault="008A579A" w:rsidP="008A57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told to stay </w:t>
            </w:r>
            <w:r w:rsidRPr="00854202">
              <w:rPr>
                <w:rFonts w:ascii="Arial" w:hAnsi="Arial" w:cs="Arial"/>
              </w:rPr>
              <w:t>away from the water’s edge</w:t>
            </w:r>
          </w:p>
          <w:p w14:paraId="09364D6B" w14:textId="27B5779A" w:rsidR="008A579A" w:rsidRPr="00854202" w:rsidRDefault="008A579A" w:rsidP="008A579A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Committee members</w:t>
            </w:r>
            <w:r w:rsidRPr="00854202">
              <w:rPr>
                <w:rFonts w:ascii="Arial" w:hAnsi="Arial" w:cs="Arial"/>
              </w:rPr>
              <w:t xml:space="preserve"> know location of public safety equipment and how to use it</w:t>
            </w:r>
          </w:p>
          <w:p w14:paraId="302743E2" w14:textId="2A67443F" w:rsidR="008A579A" w:rsidRPr="008A579A" w:rsidRDefault="008A579A" w:rsidP="008A579A">
            <w:pPr>
              <w:rPr>
                <w:rFonts w:ascii="Calibri" w:eastAsia="Calibri" w:hAnsi="Calibri" w:cs="Calibri"/>
                <w:color w:val="FF0000"/>
                <w:sz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D63F20E" w14:textId="306A1387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49E714" w14:textId="24486593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432C035" w14:textId="086D80A3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2" w:type="pct"/>
            <w:shd w:val="clear" w:color="auto" w:fill="FFFFFF" w:themeFill="background1"/>
          </w:tcPr>
          <w:p w14:paraId="563371BE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0E9F5A79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125E7C46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A049836" w14:textId="77777777" w:rsidR="000954A2" w:rsidRPr="008A579A" w:rsidRDefault="000954A2" w:rsidP="008A579A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0954A2" w14:paraId="615AD3C0" w14:textId="77777777" w:rsidTr="000954A2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56FB0A17" w14:textId="77777777" w:rsidR="000954A2" w:rsidRDefault="000954A2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Hazardous Litter</w:t>
            </w:r>
          </w:p>
          <w:p w14:paraId="77BF056B" w14:textId="77777777" w:rsidR="008A579A" w:rsidRPr="00203F54" w:rsidRDefault="008A579A" w:rsidP="008A579A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03F54">
              <w:rPr>
                <w:rFonts w:ascii="Arial" w:eastAsia="Times New Roman" w:hAnsi="Arial" w:cs="Arial"/>
                <w:color w:val="000000"/>
              </w:rPr>
              <w:t>Leaking drums and containers</w:t>
            </w:r>
          </w:p>
          <w:p w14:paraId="763FDDBE" w14:textId="77777777" w:rsidR="008A579A" w:rsidRPr="00203F54" w:rsidRDefault="008A579A" w:rsidP="008A579A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03F54">
              <w:rPr>
                <w:rFonts w:ascii="Arial" w:eastAsia="Times New Roman" w:hAnsi="Arial" w:cs="Arial"/>
                <w:color w:val="000000"/>
              </w:rPr>
              <w:t>Unidentified objects</w:t>
            </w:r>
          </w:p>
          <w:p w14:paraId="0B2AB63E" w14:textId="77777777" w:rsidR="008A579A" w:rsidRPr="00203F54" w:rsidRDefault="008A579A" w:rsidP="008A579A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03F54">
              <w:rPr>
                <w:rFonts w:ascii="Arial" w:eastAsia="Times New Roman" w:hAnsi="Arial" w:cs="Arial"/>
                <w:color w:val="000000"/>
              </w:rPr>
              <w:t>Pyrotechnics – explosives</w:t>
            </w:r>
          </w:p>
          <w:p w14:paraId="009E1183" w14:textId="77777777" w:rsidR="008A579A" w:rsidRDefault="008A579A" w:rsidP="008A579A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203F54">
              <w:rPr>
                <w:rFonts w:ascii="Arial" w:eastAsia="Times New Roman" w:hAnsi="Arial" w:cs="Arial"/>
                <w:color w:val="000000"/>
              </w:rPr>
              <w:t>Sewage</w:t>
            </w:r>
          </w:p>
          <w:p w14:paraId="28F9CC10" w14:textId="21430D8B" w:rsidR="008A579A" w:rsidRDefault="008A579A" w:rsidP="008A579A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Glass </w:t>
            </w:r>
          </w:p>
          <w:p w14:paraId="5548A4D5" w14:textId="07E9BE1E" w:rsidR="008A579A" w:rsidRPr="00203F54" w:rsidRDefault="008A579A" w:rsidP="008A579A">
            <w:pPr>
              <w:numPr>
                <w:ilvl w:val="0"/>
                <w:numId w:val="26"/>
              </w:numPr>
              <w:ind w:left="360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Drugs</w:t>
            </w:r>
          </w:p>
          <w:p w14:paraId="55AADE9E" w14:textId="4A45FD24" w:rsidR="008A579A" w:rsidRDefault="008A579A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0" w:type="pct"/>
            <w:shd w:val="clear" w:color="auto" w:fill="FFFFFF" w:themeFill="background1"/>
          </w:tcPr>
          <w:p w14:paraId="6ECEF7C0" w14:textId="77777777" w:rsidR="008A579A" w:rsidRDefault="008A579A" w:rsidP="008A579A">
            <w:pPr>
              <w:rPr>
                <w:rFonts w:ascii="Arial" w:eastAsia="Times New Roman" w:hAnsi="Arial" w:cs="Arial"/>
                <w:color w:val="000000"/>
              </w:rPr>
            </w:pPr>
          </w:p>
          <w:p w14:paraId="15036A2D" w14:textId="2E0F4694" w:rsidR="008A579A" w:rsidRPr="00203F54" w:rsidRDefault="008A579A" w:rsidP="008A579A">
            <w:pPr>
              <w:rPr>
                <w:rFonts w:ascii="Arial" w:eastAsia="Times New Roman" w:hAnsi="Arial" w:cs="Arial"/>
              </w:rPr>
            </w:pPr>
            <w:r w:rsidRPr="00203F54">
              <w:rPr>
                <w:rFonts w:ascii="Arial" w:eastAsia="Times New Roman" w:hAnsi="Arial" w:cs="Arial"/>
                <w:color w:val="000000"/>
              </w:rPr>
              <w:t>loss of limb, chemical burns or infections</w:t>
            </w:r>
          </w:p>
          <w:p w14:paraId="172B28AB" w14:textId="77777777" w:rsidR="000954A2" w:rsidRPr="003A5419" w:rsidRDefault="000954A2" w:rsidP="00F22F73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6DC3F6B8" w14:textId="5A13199F" w:rsidR="000954A2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11DCDF71" w14:textId="2D2F3647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174A96C" w14:textId="0742102C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39476FD" w14:textId="0C731B50" w:rsidR="000954A2" w:rsidRDefault="008A579A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4F62D08E" w14:textId="77777777" w:rsidR="008A6387" w:rsidRDefault="008A6387" w:rsidP="008A6387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Members are told not to touch litter for safety reasons. </w:t>
            </w:r>
          </w:p>
          <w:p w14:paraId="2BFACAF8" w14:textId="031ECB1D" w:rsidR="008A6387" w:rsidRPr="008A6387" w:rsidRDefault="008A6387" w:rsidP="008A6387">
            <w:pPr>
              <w:pStyle w:val="ListParagraph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000000"/>
              </w:rPr>
            </w:pPr>
            <w:r w:rsidRPr="008A6387">
              <w:rPr>
                <w:rFonts w:ascii="Arial" w:eastAsia="Times New Roman" w:hAnsi="Arial" w:cs="Arial"/>
                <w:color w:val="000000"/>
              </w:rPr>
              <w:t xml:space="preserve">Gathering place and nearby vicinity is checked at the start of each beach visit. </w:t>
            </w:r>
            <w:r w:rsidRPr="008A6387">
              <w:rPr>
                <w:rFonts w:ascii="Arial" w:eastAsia="Times New Roman" w:hAnsi="Arial" w:cs="Arial"/>
                <w:color w:val="000000"/>
              </w:rPr>
              <w:t xml:space="preserve">Members are </w:t>
            </w:r>
            <w:r w:rsidRPr="008A6387">
              <w:rPr>
                <w:rFonts w:ascii="Arial" w:eastAsia="Times New Roman" w:hAnsi="Arial" w:cs="Arial"/>
                <w:color w:val="000000"/>
              </w:rPr>
              <w:t xml:space="preserve">reminded that litter can be hidden between rocks, buried by sand and what to do if they find some. </w:t>
            </w:r>
          </w:p>
          <w:p w14:paraId="01A5B130" w14:textId="77777777" w:rsidR="000954A2" w:rsidRPr="008A6387" w:rsidRDefault="000954A2" w:rsidP="008A6387">
            <w:pPr>
              <w:textAlignment w:val="baseline"/>
              <w:rPr>
                <w:rFonts w:ascii="Calibri" w:eastAsia="Calibri" w:hAnsi="Calibri" w:cs="Calibri"/>
                <w:color w:val="FF0000"/>
                <w:sz w:val="2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C8B39C8" w14:textId="60BA9A13" w:rsidR="000954A2" w:rsidRDefault="008A6387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434821B" w14:textId="71B5C063" w:rsidR="000954A2" w:rsidRDefault="008A6387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D6FF996" w14:textId="64A28EF9" w:rsidR="000954A2" w:rsidRDefault="008A6387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2" w:type="pct"/>
            <w:shd w:val="clear" w:color="auto" w:fill="FFFFFF" w:themeFill="background1"/>
          </w:tcPr>
          <w:p w14:paraId="0042D058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1E3F6F53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29E9534" w14:textId="77777777" w:rsidR="008A579A" w:rsidRDefault="008A579A" w:rsidP="008A579A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0">
              <w:r w:rsidRPr="643F9554">
                <w:rPr>
                  <w:rStyle w:val="Hyperlink"/>
                  <w:rFonts w:eastAsiaTheme="minorEastAsia"/>
                </w:rPr>
                <w:t>available h</w:t>
              </w:r>
              <w:r w:rsidRPr="643F9554">
                <w:rPr>
                  <w:rStyle w:val="Hyperlink"/>
                  <w:rFonts w:eastAsiaTheme="minorEastAsia"/>
                </w:rPr>
                <w:t>e</w:t>
              </w:r>
              <w:r w:rsidRPr="643F9554">
                <w:rPr>
                  <w:rStyle w:val="Hyperlink"/>
                  <w:rFonts w:eastAsiaTheme="minorEastAsia"/>
                </w:rPr>
                <w:t>re</w:t>
              </w:r>
            </w:hyperlink>
          </w:p>
          <w:p w14:paraId="0BC6B6AD" w14:textId="77777777" w:rsidR="000954A2" w:rsidRPr="008A579A" w:rsidRDefault="000954A2" w:rsidP="008A579A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FC38F9" w14:paraId="5BD89F47" w14:textId="77777777" w:rsidTr="000954A2">
        <w:trPr>
          <w:cantSplit/>
          <w:trHeight w:val="775"/>
        </w:trPr>
        <w:tc>
          <w:tcPr>
            <w:tcW w:w="757" w:type="pct"/>
            <w:shd w:val="clear" w:color="auto" w:fill="FFFFFF" w:themeFill="background1"/>
          </w:tcPr>
          <w:p w14:paraId="799EA710" w14:textId="23D8B72B" w:rsidR="00FC38F9" w:rsidRDefault="00FC38F9" w:rsidP="00F22F7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Disruption/Destruction of ecosystems</w:t>
            </w:r>
          </w:p>
        </w:tc>
        <w:tc>
          <w:tcPr>
            <w:tcW w:w="600" w:type="pct"/>
            <w:shd w:val="clear" w:color="auto" w:fill="FFFFFF" w:themeFill="background1"/>
          </w:tcPr>
          <w:p w14:paraId="296539AC" w14:textId="77777777" w:rsidR="008A6387" w:rsidRDefault="008A6387" w:rsidP="008A6387">
            <w:pPr>
              <w:pStyle w:val="NormalWeb"/>
              <w:spacing w:before="2" w:after="2"/>
              <w:rPr>
                <w:rFonts w:ascii="Arial" w:hAnsi="Arial" w:cs="Arial"/>
                <w:sz w:val="22"/>
                <w:szCs w:val="22"/>
              </w:rPr>
            </w:pPr>
            <w:r w:rsidRPr="00203F54">
              <w:rPr>
                <w:rFonts w:ascii="Arial" w:hAnsi="Arial" w:cs="Arial"/>
                <w:sz w:val="22"/>
                <w:szCs w:val="22"/>
              </w:rPr>
              <w:t xml:space="preserve">threatening plant life, food supply of animals (including birds and insects) </w:t>
            </w:r>
          </w:p>
          <w:p w14:paraId="16823AAE" w14:textId="28ED1E5D" w:rsidR="004B6A75" w:rsidRPr="00203F54" w:rsidRDefault="004B6A75" w:rsidP="008A6387">
            <w:pPr>
              <w:pStyle w:val="NormalWeb"/>
              <w:spacing w:before="2" w:after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distress to other members who care about the environment</w:t>
            </w:r>
          </w:p>
          <w:p w14:paraId="567C08C6" w14:textId="77777777" w:rsidR="008A6387" w:rsidRPr="008A6387" w:rsidRDefault="008A6387" w:rsidP="008A638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6F69666C" w14:textId="29CAD7BB" w:rsidR="00FC38F9" w:rsidRPr="003A5419" w:rsidRDefault="008A579A" w:rsidP="00F22F7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</w:rPr>
              <w:t>Committee and members attending</w:t>
            </w:r>
          </w:p>
        </w:tc>
        <w:tc>
          <w:tcPr>
            <w:tcW w:w="157" w:type="pct"/>
            <w:shd w:val="clear" w:color="auto" w:fill="FFFFFF" w:themeFill="background1"/>
          </w:tcPr>
          <w:p w14:paraId="398B3CEA" w14:textId="2DC46DA2" w:rsidR="00FC38F9" w:rsidRDefault="008A6387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DACA444" w14:textId="63AEB3D8" w:rsidR="00FC38F9" w:rsidRDefault="008A6387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3269493" w14:textId="7FB6C25F" w:rsidR="00FC38F9" w:rsidRDefault="008A6387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005" w:type="pct"/>
            <w:shd w:val="clear" w:color="auto" w:fill="FFFFFF" w:themeFill="background1"/>
          </w:tcPr>
          <w:p w14:paraId="56A631EE" w14:textId="77777777" w:rsidR="00FC38F9" w:rsidRDefault="008A6387" w:rsidP="008A6387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 xml:space="preserve">Members are told in advance to be careful to not disrupt the ecosystems or destroy them </w:t>
            </w:r>
          </w:p>
          <w:p w14:paraId="7D370AC4" w14:textId="4DB41A4E" w:rsidR="004B6A75" w:rsidRDefault="004B6A75" w:rsidP="008A6387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That any disruption or destruction is not tolerated and will affect their future with the society</w:t>
            </w:r>
          </w:p>
          <w:p w14:paraId="0A1EBD5F" w14:textId="0A6E25D0" w:rsidR="008A6387" w:rsidRPr="008A6387" w:rsidRDefault="00B0048F" w:rsidP="008A6387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</w:rPr>
              <w:t>Reminders throughout the trip to leave the animal be</w:t>
            </w:r>
          </w:p>
        </w:tc>
        <w:tc>
          <w:tcPr>
            <w:tcW w:w="157" w:type="pct"/>
            <w:shd w:val="clear" w:color="auto" w:fill="FFFFFF" w:themeFill="background1"/>
          </w:tcPr>
          <w:p w14:paraId="5853A38D" w14:textId="3EAD4AF2" w:rsidR="00FC38F9" w:rsidRDefault="00B0048F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BB64159" w14:textId="1920EA1A" w:rsidR="00FC38F9" w:rsidRDefault="00B0048F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9F5C71A" w14:textId="1EC1A62A" w:rsidR="00FC38F9" w:rsidRDefault="00B0048F" w:rsidP="00F22F73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2" w:type="pct"/>
            <w:shd w:val="clear" w:color="auto" w:fill="FFFFFF" w:themeFill="background1"/>
          </w:tcPr>
          <w:p w14:paraId="445682B2" w14:textId="77777777" w:rsidR="00FC38F9" w:rsidRDefault="008A6387" w:rsidP="008C6987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Disrespectful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behavior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 xml:space="preserve"> is not tolerated by our Society, </w:t>
            </w:r>
            <w:r w:rsidR="001B6E4A">
              <w:rPr>
                <w:rFonts w:ascii="Calibri" w:eastAsia="Calibri" w:hAnsi="Calibri" w:cs="Calibri"/>
                <w:color w:val="000000" w:themeColor="text1"/>
              </w:rPr>
              <w:t>Committee members will meet to discuss the future of this member in the Society</w:t>
            </w:r>
          </w:p>
          <w:p w14:paraId="4362F1E8" w14:textId="52E80A6A" w:rsidR="001B6E4A" w:rsidRDefault="00C1067B" w:rsidP="008C6987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Report the incident to the Student Hub and the SUSU Advice </w:t>
            </w:r>
            <w:proofErr w:type="spellStart"/>
            <w:r w:rsidR="005B3455">
              <w:rPr>
                <w:rFonts w:ascii="Calibri" w:eastAsia="Calibri" w:hAnsi="Calibri" w:cs="Calibri"/>
                <w:color w:val="000000" w:themeColor="text1"/>
              </w:rPr>
              <w:t>Center</w:t>
            </w:r>
            <w:proofErr w:type="spellEnd"/>
            <w:r w:rsidR="005B345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E71CE2" w14:textId="3BB1AA62" w:rsidR="008C6987" w:rsidRDefault="008C6987" w:rsidP="008C6987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eastAsiaTheme="minorEastAsia"/>
              </w:rPr>
              <w:t xml:space="preserve">If </w:t>
            </w:r>
            <w:r w:rsidR="005B3455">
              <w:rPr>
                <w:rFonts w:eastAsiaTheme="minorEastAsia"/>
              </w:rPr>
              <w:t xml:space="preserve">any other members are distressed by this person’s actions, </w:t>
            </w: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21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4E40D22" w14:textId="58F07D8B" w:rsidR="008C6987" w:rsidRPr="008A6387" w:rsidRDefault="008C6987" w:rsidP="008C6987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1</w:t>
            </w:r>
          </w:p>
        </w:tc>
        <w:tc>
          <w:tcPr>
            <w:tcW w:w="1500" w:type="pct"/>
          </w:tcPr>
          <w:p w14:paraId="3C5F048E" w14:textId="4AA73168" w:rsidR="00C642F4" w:rsidRPr="00781848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EE0000"/>
              </w:rPr>
            </w:pPr>
            <w:r w:rsidRPr="004D707A">
              <w:rPr>
                <w:rFonts w:eastAsiaTheme="minorEastAsia"/>
                <w:color w:val="000000" w:themeColor="text1"/>
              </w:rPr>
              <w:t xml:space="preserve">Before booking trip organisers to investigate </w:t>
            </w:r>
            <w:r w:rsidR="004D707A" w:rsidRPr="004D707A">
              <w:rPr>
                <w:rFonts w:eastAsiaTheme="minorEastAsia"/>
                <w:color w:val="000000" w:themeColor="text1"/>
              </w:rPr>
              <w:t xml:space="preserve">tides and safety </w:t>
            </w:r>
          </w:p>
        </w:tc>
        <w:tc>
          <w:tcPr>
            <w:tcW w:w="687" w:type="pct"/>
          </w:tcPr>
          <w:p w14:paraId="3C5F048F" w14:textId="4D7235F2" w:rsidR="00C642F4" w:rsidRPr="00483188" w:rsidRDefault="00483188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3C5F0490" w14:textId="17AB81E1" w:rsidR="00C642F4" w:rsidRPr="00957A37" w:rsidRDefault="004D707A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Month 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83188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59779F8C" w:rsidR="0007105E" w:rsidRPr="00957A37" w:rsidRDefault="0007105E" w:rsidP="0007105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1500" w:type="pct"/>
          </w:tcPr>
          <w:p w14:paraId="3C5F049C" w14:textId="3BB47824" w:rsidR="00483188" w:rsidRPr="004D707A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4D707A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3713F745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3C5F049E" w14:textId="17890CF1" w:rsidR="00483188" w:rsidRPr="00957A37" w:rsidRDefault="00E20CEB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83188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2FF5B4A3" w:rsidR="00483188" w:rsidRPr="00957A37" w:rsidRDefault="0007105E" w:rsidP="004831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1500" w:type="pct"/>
          </w:tcPr>
          <w:p w14:paraId="3C5F04AA" w14:textId="526966EE" w:rsidR="00483188" w:rsidRPr="00781848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EE0000"/>
              </w:rPr>
            </w:pPr>
            <w:r w:rsidRPr="00E20CE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01CEC1E8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3C5F04AC" w14:textId="693C6078" w:rsidR="00483188" w:rsidRPr="00957A37" w:rsidRDefault="00E20CEB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At least a week 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83188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55715D9E" w:rsidR="00483188" w:rsidRPr="00957A37" w:rsidRDefault="0007105E" w:rsidP="004831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4</w:t>
            </w:r>
          </w:p>
        </w:tc>
        <w:tc>
          <w:tcPr>
            <w:tcW w:w="1500" w:type="pct"/>
          </w:tcPr>
          <w:p w14:paraId="3C5F04B1" w14:textId="7D7D1E4F" w:rsidR="00483188" w:rsidRPr="00781848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EE0000"/>
              </w:rPr>
            </w:pPr>
            <w:r w:rsidRPr="00E20CE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1DEED4B0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3C5F04B3" w14:textId="4155AA41" w:rsidR="00483188" w:rsidRPr="00957A37" w:rsidRDefault="00E20CEB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At least a week 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83188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0E6EEFF4" w:rsidR="00483188" w:rsidRPr="00957A37" w:rsidRDefault="0007105E" w:rsidP="004831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</w:t>
            </w:r>
          </w:p>
        </w:tc>
        <w:tc>
          <w:tcPr>
            <w:tcW w:w="1500" w:type="pct"/>
          </w:tcPr>
          <w:p w14:paraId="24D54169" w14:textId="304F8391" w:rsidR="00483188" w:rsidRPr="00E20CEB" w:rsidRDefault="00483188" w:rsidP="00483188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E20CE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483188" w:rsidRPr="00781848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EE0000"/>
              </w:rPr>
            </w:pPr>
          </w:p>
        </w:tc>
        <w:tc>
          <w:tcPr>
            <w:tcW w:w="687" w:type="pct"/>
          </w:tcPr>
          <w:p w14:paraId="3C5F04BA" w14:textId="31662344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3C5F04BB" w14:textId="2A820B58" w:rsidR="00483188" w:rsidRPr="00957A37" w:rsidRDefault="00E20CEB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At least a week 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83188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5A73165C" w:rsidR="00483188" w:rsidRDefault="0007105E" w:rsidP="00483188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75944B53" w14:textId="075C42C7" w:rsidR="00483188" w:rsidRPr="00781848" w:rsidRDefault="00483188" w:rsidP="00483188">
            <w:pPr>
              <w:spacing w:line="240" w:lineRule="auto"/>
              <w:rPr>
                <w:rFonts w:eastAsiaTheme="minorEastAsia"/>
                <w:color w:val="EE0000"/>
              </w:rPr>
            </w:pPr>
            <w:r w:rsidRPr="00E50D3E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vehicle safety checks area carried out, and research laws on licencing </w:t>
            </w:r>
          </w:p>
        </w:tc>
        <w:tc>
          <w:tcPr>
            <w:tcW w:w="687" w:type="pct"/>
          </w:tcPr>
          <w:p w14:paraId="6C84193F" w14:textId="776CCA2F" w:rsidR="00483188" w:rsidRDefault="00483188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443EC4A5" w14:textId="4BAD95A0" w:rsidR="00483188" w:rsidRDefault="00E50D3E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At least a few </w:t>
            </w:r>
            <w:proofErr w:type="gramStart"/>
            <w:r>
              <w:rPr>
                <w:rFonts w:eastAsiaTheme="minorEastAsia"/>
                <w:color w:val="000000" w:themeColor="text1"/>
              </w:rPr>
              <w:t>week</w:t>
            </w:r>
            <w:proofErr w:type="gramEnd"/>
            <w:r>
              <w:rPr>
                <w:rFonts w:eastAsiaTheme="minorEastAsia"/>
                <w:color w:val="000000" w:themeColor="text1"/>
              </w:rPr>
              <w:t xml:space="preserve"> 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00483188" w:rsidRDefault="00483188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00483188" w:rsidRDefault="00483188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483188" w14:paraId="0F01EFF8" w14:textId="77777777" w:rsidTr="00483188">
        <w:trPr>
          <w:trHeight w:val="300"/>
        </w:trPr>
        <w:tc>
          <w:tcPr>
            <w:tcW w:w="189" w:type="pct"/>
          </w:tcPr>
          <w:p w14:paraId="0A75DEC4" w14:textId="4FB28070" w:rsidR="00483188" w:rsidRDefault="0007105E" w:rsidP="00483188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505245BB" w14:textId="679CD298" w:rsidR="00483188" w:rsidRPr="00781848" w:rsidRDefault="00483188" w:rsidP="00483188">
            <w:pPr>
              <w:rPr>
                <w:color w:val="EE0000"/>
              </w:rPr>
            </w:pPr>
            <w:r w:rsidRPr="00E50D3E">
              <w:rPr>
                <w:color w:val="000000" w:themeColor="text1"/>
              </w:rPr>
              <w:t>Ensure you have a few key phrases printed on laminated card to take with you in case of an incident</w:t>
            </w:r>
          </w:p>
        </w:tc>
        <w:tc>
          <w:tcPr>
            <w:tcW w:w="687" w:type="pct"/>
          </w:tcPr>
          <w:p w14:paraId="364FC9FE" w14:textId="3FF9714A" w:rsidR="00483188" w:rsidRDefault="00483188" w:rsidP="00483188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 w:themeColor="text1"/>
              </w:rPr>
              <w:t>Committee attending</w:t>
            </w:r>
          </w:p>
        </w:tc>
        <w:tc>
          <w:tcPr>
            <w:tcW w:w="444" w:type="pct"/>
            <w:gridSpan w:val="2"/>
          </w:tcPr>
          <w:p w14:paraId="4F4B9867" w14:textId="120B030C" w:rsidR="00483188" w:rsidRDefault="0007105E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At least a week before the event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4E08A1A2" w14:textId="19F9A92E" w:rsidR="00483188" w:rsidRDefault="00483188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2D892FE" w14:textId="56486063" w:rsidR="00483188" w:rsidRDefault="00483188" w:rsidP="00483188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483188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1CB08C76" w:rsidR="00483188" w:rsidRPr="00957A37" w:rsidRDefault="00483188" w:rsidP="00483188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 Maria Victoria Arias Rodriguez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  <w:p w14:paraId="3C5F04C0" w14:textId="04CC7BBE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401AF918" w:rsidR="007D5B4E" w:rsidRPr="00957A37" w:rsidRDefault="00483188" w:rsidP="007D5B4E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  <w:r w:rsidR="007D5B4E">
              <w:rPr>
                <w:rFonts w:ascii="Lucida Sans" w:eastAsia="Lucida Sans" w:hAnsi="Lucida Sans" w:cs="Lucida Sans"/>
                <w:color w:val="000000"/>
              </w:rPr>
              <w:t xml:space="preserve"> Harry Woollard</w:t>
            </w:r>
          </w:p>
          <w:p w14:paraId="3C5F04C1" w14:textId="29CCA64F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483188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00C77459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Maria Victoria Arias Rodriguez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291B6013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7D5B4E">
              <w:rPr>
                <w:rFonts w:ascii="Lucida Sans" w:eastAsia="Lucida Sans" w:hAnsi="Lucida Sans" w:cs="Lucida Sans"/>
                <w:color w:val="000000"/>
              </w:rPr>
              <w:t xml:space="preserve"> 21/10/25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6A91A1D8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7D5B4E">
              <w:rPr>
                <w:rFonts w:ascii="Lucida Sans" w:eastAsia="Lucida Sans" w:hAnsi="Lucida Sans" w:cs="Lucida Sans"/>
                <w:color w:val="000000"/>
              </w:rPr>
              <w:t xml:space="preserve"> Harry Woollard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03B66933" w:rsidR="00483188" w:rsidRPr="00957A37" w:rsidRDefault="00483188" w:rsidP="004831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7D5B4E">
              <w:rPr>
                <w:rFonts w:ascii="Lucida Sans" w:eastAsia="Lucida Sans" w:hAnsi="Lucida Sans" w:cs="Lucida Sans"/>
                <w:color w:val="000000"/>
              </w:rPr>
              <w:t xml:space="preserve"> 21/10/25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7E65" w14:textId="77777777" w:rsidR="00183BCB" w:rsidRDefault="00183BCB" w:rsidP="00AC47B4">
      <w:pPr>
        <w:spacing w:after="0" w:line="240" w:lineRule="auto"/>
      </w:pPr>
      <w:r>
        <w:separator/>
      </w:r>
    </w:p>
  </w:endnote>
  <w:endnote w:type="continuationSeparator" w:id="0">
    <w:p w14:paraId="734DFAC9" w14:textId="77777777" w:rsidR="00183BCB" w:rsidRDefault="00183BC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C761A" w14:textId="77777777" w:rsidR="00183BCB" w:rsidRDefault="00183BCB" w:rsidP="00AC47B4">
      <w:pPr>
        <w:spacing w:after="0" w:line="240" w:lineRule="auto"/>
      </w:pPr>
      <w:r>
        <w:separator/>
      </w:r>
    </w:p>
  </w:footnote>
  <w:footnote w:type="continuationSeparator" w:id="0">
    <w:p w14:paraId="44BDD77E" w14:textId="77777777" w:rsidR="00183BCB" w:rsidRDefault="00183BC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25CF"/>
    <w:multiLevelType w:val="multilevel"/>
    <w:tmpl w:val="4750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4F9E"/>
    <w:multiLevelType w:val="hybridMultilevel"/>
    <w:tmpl w:val="5B564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953D3"/>
    <w:multiLevelType w:val="hybridMultilevel"/>
    <w:tmpl w:val="F9003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901C5"/>
    <w:multiLevelType w:val="hybridMultilevel"/>
    <w:tmpl w:val="3A4E3162"/>
    <w:lvl w:ilvl="0" w:tplc="8FCC1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2BC7"/>
    <w:multiLevelType w:val="hybridMultilevel"/>
    <w:tmpl w:val="786AF8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787E5B"/>
    <w:multiLevelType w:val="hybridMultilevel"/>
    <w:tmpl w:val="55447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20A12"/>
    <w:multiLevelType w:val="hybridMultilevel"/>
    <w:tmpl w:val="14A2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6"/>
  </w:num>
  <w:num w:numId="2" w16cid:durableId="1325891478">
    <w:abstractNumId w:val="23"/>
  </w:num>
  <w:num w:numId="3" w16cid:durableId="1171262428">
    <w:abstractNumId w:val="4"/>
  </w:num>
  <w:num w:numId="4" w16cid:durableId="1286305053">
    <w:abstractNumId w:val="2"/>
  </w:num>
  <w:num w:numId="5" w16cid:durableId="84614728">
    <w:abstractNumId w:val="17"/>
  </w:num>
  <w:num w:numId="6" w16cid:durableId="1424376787">
    <w:abstractNumId w:val="27"/>
  </w:num>
  <w:num w:numId="7" w16cid:durableId="194581821">
    <w:abstractNumId w:val="22"/>
  </w:num>
  <w:num w:numId="8" w16cid:durableId="809321016">
    <w:abstractNumId w:val="0"/>
  </w:num>
  <w:num w:numId="9" w16cid:durableId="87893961">
    <w:abstractNumId w:val="19"/>
  </w:num>
  <w:num w:numId="10" w16cid:durableId="1226455775">
    <w:abstractNumId w:val="25"/>
  </w:num>
  <w:num w:numId="11" w16cid:durableId="1100371935">
    <w:abstractNumId w:val="9"/>
  </w:num>
  <w:num w:numId="12" w16cid:durableId="7995836">
    <w:abstractNumId w:val="26"/>
  </w:num>
  <w:num w:numId="13" w16cid:durableId="34045938">
    <w:abstractNumId w:val="24"/>
  </w:num>
  <w:num w:numId="14" w16cid:durableId="368722839">
    <w:abstractNumId w:val="3"/>
  </w:num>
  <w:num w:numId="15" w16cid:durableId="702294136">
    <w:abstractNumId w:val="20"/>
  </w:num>
  <w:num w:numId="16" w16cid:durableId="2004384124">
    <w:abstractNumId w:val="21"/>
  </w:num>
  <w:num w:numId="17" w16cid:durableId="149292670">
    <w:abstractNumId w:val="12"/>
  </w:num>
  <w:num w:numId="18" w16cid:durableId="1118988883">
    <w:abstractNumId w:val="14"/>
  </w:num>
  <w:num w:numId="19" w16cid:durableId="461003923">
    <w:abstractNumId w:val="11"/>
  </w:num>
  <w:num w:numId="20" w16cid:durableId="499540675">
    <w:abstractNumId w:val="10"/>
  </w:num>
  <w:num w:numId="21" w16cid:durableId="2043626224">
    <w:abstractNumId w:val="8"/>
  </w:num>
  <w:num w:numId="22" w16cid:durableId="1605384455">
    <w:abstractNumId w:val="18"/>
  </w:num>
  <w:num w:numId="23" w16cid:durableId="288779860">
    <w:abstractNumId w:val="13"/>
  </w:num>
  <w:num w:numId="24" w16cid:durableId="2001347666">
    <w:abstractNumId w:val="5"/>
  </w:num>
  <w:num w:numId="25" w16cid:durableId="814761003">
    <w:abstractNumId w:val="15"/>
  </w:num>
  <w:num w:numId="26" w16cid:durableId="744180323">
    <w:abstractNumId w:val="1"/>
  </w:num>
  <w:num w:numId="27" w16cid:durableId="1284926156">
    <w:abstractNumId w:val="6"/>
  </w:num>
  <w:num w:numId="28" w16cid:durableId="2173289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105E"/>
    <w:rsid w:val="00073C24"/>
    <w:rsid w:val="0007472F"/>
    <w:rsid w:val="00082AB9"/>
    <w:rsid w:val="0008455A"/>
    <w:rsid w:val="00085806"/>
    <w:rsid w:val="00085B98"/>
    <w:rsid w:val="000863FB"/>
    <w:rsid w:val="00094F71"/>
    <w:rsid w:val="000954A2"/>
    <w:rsid w:val="00097293"/>
    <w:rsid w:val="000A248D"/>
    <w:rsid w:val="000A2D02"/>
    <w:rsid w:val="000A4A11"/>
    <w:rsid w:val="000B0F92"/>
    <w:rsid w:val="000B3C4D"/>
    <w:rsid w:val="000B7597"/>
    <w:rsid w:val="000C4E23"/>
    <w:rsid w:val="000C4FAC"/>
    <w:rsid w:val="000C584B"/>
    <w:rsid w:val="000C5FCD"/>
    <w:rsid w:val="000C6C98"/>
    <w:rsid w:val="000C734A"/>
    <w:rsid w:val="000D0A27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E88"/>
    <w:rsid w:val="0012482F"/>
    <w:rsid w:val="00124DF9"/>
    <w:rsid w:val="00133077"/>
    <w:rsid w:val="0013426F"/>
    <w:rsid w:val="00140E8A"/>
    <w:rsid w:val="00147C5C"/>
    <w:rsid w:val="0015347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3BCB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1939"/>
    <w:rsid w:val="001B2773"/>
    <w:rsid w:val="001B4339"/>
    <w:rsid w:val="001B6E4A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94CF3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1EFC"/>
    <w:rsid w:val="00312ADB"/>
    <w:rsid w:val="00312C2B"/>
    <w:rsid w:val="00313587"/>
    <w:rsid w:val="003210A0"/>
    <w:rsid w:val="00321A91"/>
    <w:rsid w:val="00321C83"/>
    <w:rsid w:val="0032678E"/>
    <w:rsid w:val="0033042F"/>
    <w:rsid w:val="00332B4C"/>
    <w:rsid w:val="0033373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00FD"/>
    <w:rsid w:val="00382484"/>
    <w:rsid w:val="003A1818"/>
    <w:rsid w:val="003B4F4C"/>
    <w:rsid w:val="003B62E8"/>
    <w:rsid w:val="003C2554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318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6A75"/>
    <w:rsid w:val="004C1D8F"/>
    <w:rsid w:val="004C2A99"/>
    <w:rsid w:val="004C559E"/>
    <w:rsid w:val="004C5714"/>
    <w:rsid w:val="004D2010"/>
    <w:rsid w:val="004D442C"/>
    <w:rsid w:val="004D4EBB"/>
    <w:rsid w:val="004D707A"/>
    <w:rsid w:val="004E0B6F"/>
    <w:rsid w:val="004E59E3"/>
    <w:rsid w:val="004E7DF2"/>
    <w:rsid w:val="004F2419"/>
    <w:rsid w:val="004F241A"/>
    <w:rsid w:val="004F2903"/>
    <w:rsid w:val="004F3435"/>
    <w:rsid w:val="004F557D"/>
    <w:rsid w:val="00500E01"/>
    <w:rsid w:val="005015F2"/>
    <w:rsid w:val="0050483F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B3455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3736D"/>
    <w:rsid w:val="007434AF"/>
    <w:rsid w:val="00753FFD"/>
    <w:rsid w:val="00754130"/>
    <w:rsid w:val="00757F2A"/>
    <w:rsid w:val="00761A72"/>
    <w:rsid w:val="00761C74"/>
    <w:rsid w:val="00762FA0"/>
    <w:rsid w:val="00763593"/>
    <w:rsid w:val="00777628"/>
    <w:rsid w:val="0078184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B4E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579A"/>
    <w:rsid w:val="008A6387"/>
    <w:rsid w:val="008B08F6"/>
    <w:rsid w:val="008B2267"/>
    <w:rsid w:val="008B35FC"/>
    <w:rsid w:val="008B3B39"/>
    <w:rsid w:val="008C1B08"/>
    <w:rsid w:val="008C216A"/>
    <w:rsid w:val="008C557F"/>
    <w:rsid w:val="008C5788"/>
    <w:rsid w:val="008C6987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4C3F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4A6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84C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340B"/>
    <w:rsid w:val="00AF5284"/>
    <w:rsid w:val="00AF7BBA"/>
    <w:rsid w:val="00B0048F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3182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E3D07"/>
    <w:rsid w:val="00BF095F"/>
    <w:rsid w:val="00BF0E7F"/>
    <w:rsid w:val="00BF0ECC"/>
    <w:rsid w:val="00BF4272"/>
    <w:rsid w:val="00C025BA"/>
    <w:rsid w:val="00C0480E"/>
    <w:rsid w:val="00C0738B"/>
    <w:rsid w:val="00C1067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0CB6"/>
    <w:rsid w:val="00D3449F"/>
    <w:rsid w:val="00D3690B"/>
    <w:rsid w:val="00D37998"/>
    <w:rsid w:val="00D37FE9"/>
    <w:rsid w:val="00D40B9C"/>
    <w:rsid w:val="00D42B42"/>
    <w:rsid w:val="00D5311F"/>
    <w:rsid w:val="00D53DC4"/>
    <w:rsid w:val="00D53E0A"/>
    <w:rsid w:val="00D667A6"/>
    <w:rsid w:val="00D71B15"/>
    <w:rsid w:val="00D76FE3"/>
    <w:rsid w:val="00D77BD4"/>
    <w:rsid w:val="00D77D5E"/>
    <w:rsid w:val="00D8260C"/>
    <w:rsid w:val="00D84F81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516A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0CEB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0D3E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38F9"/>
    <w:rsid w:val="00FC5073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06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sotonac.sharepoint.com/teams/SUSU-groups/SitePages/Reporting-Procedures-(incidents-and-concerns)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Maria Victoria (Vee) Arias Rodriguez (mvar1u22)</cp:lastModifiedBy>
  <cp:revision>28</cp:revision>
  <cp:lastPrinted>2016-04-18T12:10:00Z</cp:lastPrinted>
  <dcterms:created xsi:type="dcterms:W3CDTF">2025-10-21T14:30:00Z</dcterms:created>
  <dcterms:modified xsi:type="dcterms:W3CDTF">2025-10-21T15:16:00Z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