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diagrams/drawing14.xml" ContentType="application/vnd.ms-office.drawingml.diagramDrawing+xml"/>
  <Override PartName="/word/diagrams/data14.xml" ContentType="application/vnd.openxmlformats-officedocument.drawingml.diagramData+xml"/>
  <Override PartName="/word/diagrams/colors14.xml" ContentType="application/vnd.openxmlformats-officedocument.drawingml.diagramColors+xml"/>
  <Override PartName="/word/diagrams/layout14.xml" ContentType="application/vnd.openxmlformats-officedocument.drawingml.diagramLayout+xml"/>
  <Override PartName="/word/diagrams/quickStyle14.xml" ContentType="application/vnd.openxmlformats-officedocument.drawingml.diagramStyl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495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522"/>
        <w:gridCol w:w="5603"/>
        <w:gridCol w:w="2914"/>
        <w:gridCol w:w="973"/>
        <w:gridCol w:w="2232"/>
      </w:tblGrid>
      <w:tr>
        <w:trPr>
          <w:trHeight w:val="338" w:hRule="atLeast"/>
        </w:trPr>
        <w:tc>
          <w:tcPr>
            <w:tcW w:w="15244" w:type="dxa"/>
            <w:gridSpan w:val="5"/>
            <w:tcBorders/>
            <w:shd w:color="auto" w:fill="808080" w:themeFill="background1" w:themeFillShade="80" w:val="clear"/>
          </w:tcPr>
          <w:p>
            <w:pPr>
              <w:pStyle w:val="ListParagraph"/>
              <w:widowControl/>
              <w:spacing w:lineRule="auto" w:line="240" w:before="0" w:after="0"/>
              <w:ind w:start="170"/>
              <w:contextualSpacing/>
              <w:jc w:val="center"/>
              <w:rPr>
                <w:rFonts w:ascii="Verdana" w:hAnsi="Verdana" w:eastAsia="Times New Roman" w:cs="Times New Roman"/>
                <w:b/>
                <w:lang w:eastAsia="en-GB"/>
              </w:rPr>
            </w:pPr>
            <w:r>
              <w:rPr>
                <w:rFonts w:eastAsia="Times New Roman" w:cs="Arial" w:ascii="Lucida Sans" w:hAnsi="Lucida Sans"/>
                <w:b/>
                <w:bCs/>
                <w:color w:themeColor="background1" w:val="FFFFFF"/>
                <w:kern w:val="0"/>
                <w:sz w:val="40"/>
                <w:szCs w:val="20"/>
                <w:lang w:val="en-GB" w:eastAsia="en-US" w:bidi="ar-SA"/>
              </w:rPr>
              <w:t>Risk Assessment</w:t>
            </w:r>
          </w:p>
        </w:tc>
      </w:tr>
      <w:tr>
        <w:trPr>
          <w:trHeight w:val="630" w:hRule="atLeast"/>
        </w:trPr>
        <w:tc>
          <w:tcPr>
            <w:tcW w:w="3522"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Risk Assessment for the activity of</w:t>
            </w:r>
          </w:p>
        </w:tc>
        <w:tc>
          <w:tcPr>
            <w:tcW w:w="8517" w:type="dxa"/>
            <w:gridSpan w:val="2"/>
            <w:tcBorders/>
            <w:shd w:color="auto" w:fill="auto" w:val="clear"/>
          </w:tcPr>
          <w:p>
            <w:pPr>
              <w:pStyle w:val="Normal"/>
              <w:widowControl/>
              <w:spacing w:lineRule="auto" w:line="240" w:before="0" w:after="0"/>
              <w:jc w:val="start"/>
              <w:rPr>
                <w:rFonts w:ascii="Verdana" w:hAnsi="Verdana" w:eastAsia="Verdana" w:cs="Verdana"/>
                <w:b w:val="false"/>
                <w:bCs w:val="false"/>
                <w:color w:themeColor="text1" w:val="000000"/>
                <w:lang w:eastAsia="en-GB"/>
              </w:rPr>
            </w:pPr>
            <w:r>
              <w:rPr>
                <w:rFonts w:eastAsia="Verdana" w:cs="Verdana" w:ascii="Verdana" w:hAnsi="Verdana"/>
                <w:b w:val="false"/>
                <w:bCs w:val="false"/>
                <w:color w:themeColor="text1" w:val="000000"/>
                <w:kern w:val="0"/>
                <w:sz w:val="22"/>
                <w:szCs w:val="22"/>
                <w:lang w:val="en-GB" w:eastAsia="en-GB" w:bidi="ar-SA"/>
              </w:rPr>
              <w:t>Board game social</w:t>
            </w:r>
          </w:p>
        </w:tc>
        <w:tc>
          <w:tcPr>
            <w:tcW w:w="973"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bCs/>
                <w:lang w:eastAsia="en-GB"/>
              </w:rPr>
            </w:pPr>
            <w:r>
              <w:rPr>
                <w:rFonts w:eastAsia="Times New Roman" w:cs="Times New Roman" w:ascii="Verdana" w:hAnsi="Verdana"/>
                <w:b/>
                <w:bCs/>
                <w:color w:themeColor="text1" w:val="000000"/>
                <w:kern w:val="0"/>
                <w:sz w:val="22"/>
                <w:szCs w:val="22"/>
                <w:lang w:val="en-GB" w:eastAsia="en-GB" w:bidi="ar-SA"/>
              </w:rPr>
              <w:t>Date</w:t>
            </w:r>
          </w:p>
        </w:tc>
        <w:tc>
          <w:tcPr>
            <w:tcW w:w="2232" w:type="dxa"/>
            <w:tcBorders/>
            <w:shd w:color="auto" w:fill="auto" w:val="clear"/>
          </w:tcPr>
          <w:p>
            <w:pPr>
              <w:pStyle w:val="ListParagraph"/>
              <w:widowControl/>
              <w:spacing w:lineRule="auto" w:line="240" w:before="0" w:after="0"/>
              <w:ind w:start="170"/>
              <w:contextualSpacing/>
              <w:jc w:val="start"/>
              <w:rPr>
                <w:rFonts w:ascii="Calibri" w:hAnsi="Calibri" w:eastAsia="Calibri" w:cs="Arial"/>
                <w:kern w:val="0"/>
                <w:sz w:val="22"/>
                <w:szCs w:val="22"/>
                <w:lang w:val="en-GB" w:eastAsia="en-US" w:bidi="ar-SA"/>
              </w:rPr>
            </w:pPr>
            <w:r>
              <w:rPr>
                <w:rFonts w:eastAsia="Times New Roman" w:cs="Times New Roman" w:ascii="Verdana" w:hAnsi="Verdana"/>
                <w:b w:val="false"/>
                <w:bCs w:val="false"/>
                <w:color w:themeColor="text1" w:val="000000"/>
                <w:kern w:val="0"/>
                <w:sz w:val="22"/>
                <w:szCs w:val="22"/>
                <w:lang w:val="en-GB" w:eastAsia="en-GB" w:bidi="ar-SA"/>
              </w:rPr>
              <w:t>07/08/2026</w:t>
            </w:r>
          </w:p>
        </w:tc>
      </w:tr>
      <w:tr>
        <w:trPr>
          <w:trHeight w:val="338" w:hRule="atLeast"/>
        </w:trPr>
        <w:tc>
          <w:tcPr>
            <w:tcW w:w="3522"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 xml:space="preserve">Unit/Faculty/Directorate/Club or Society </w:t>
            </w:r>
          </w:p>
        </w:tc>
        <w:tc>
          <w:tcPr>
            <w:tcW w:w="5603" w:type="dxa"/>
            <w:tcBorders/>
            <w:shd w:color="auto" w:fill="auto"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ascii="Verdana" w:hAnsi="Verdana"/>
                <w:color w:themeColor="text1" w:val="000000"/>
                <w:kern w:val="0"/>
                <w:sz w:val="22"/>
                <w:szCs w:val="22"/>
                <w:lang w:val="en-GB" w:eastAsia="en-US" w:bidi="ar-SA"/>
              </w:rPr>
              <w:t>Neurodiversity and Disability Society</w:t>
            </w:r>
          </w:p>
        </w:tc>
        <w:tc>
          <w:tcPr>
            <w:tcW w:w="2914"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Assessor</w:t>
            </w:r>
          </w:p>
        </w:tc>
        <w:tc>
          <w:tcPr>
            <w:tcW w:w="3205" w:type="dxa"/>
            <w:gridSpan w:val="2"/>
            <w:tcBorders/>
            <w:shd w:color="auto" w:fill="auto" w:val="clear"/>
          </w:tcPr>
          <w:p>
            <w:pPr>
              <w:pStyle w:val="ListParagraph"/>
              <w:widowControl/>
              <w:spacing w:lineRule="auto" w:line="240" w:before="0" w:after="0"/>
              <w:ind w:start="170"/>
              <w:contextualSpacing/>
              <w:jc w:val="start"/>
              <w:rPr>
                <w:rFonts w:ascii="Calibri" w:hAnsi="Calibri" w:eastAsia="Calibri" w:cs="Arial"/>
                <w:kern w:val="0"/>
                <w:sz w:val="22"/>
                <w:szCs w:val="22"/>
                <w:lang w:val="en-GB" w:eastAsia="en-US" w:bidi="ar-SA"/>
              </w:rPr>
            </w:pPr>
            <w:r>
              <w:rPr>
                <w:rFonts w:eastAsia="Times New Roman" w:cs="Times New Roman" w:ascii="Verdana" w:hAnsi="Verdana"/>
                <w:color w:themeColor="text1" w:val="000000"/>
                <w:kern w:val="0"/>
                <w:sz w:val="22"/>
                <w:szCs w:val="22"/>
                <w:lang w:val="en-GB" w:eastAsia="en-GB" w:bidi="ar-SA"/>
              </w:rPr>
              <w:t>Joseph Robbins</w:t>
            </w:r>
          </w:p>
        </w:tc>
      </w:tr>
      <w:tr>
        <w:trPr>
          <w:trHeight w:val="338" w:hRule="atLeast"/>
        </w:trPr>
        <w:tc>
          <w:tcPr>
            <w:tcW w:w="3522" w:type="dxa"/>
            <w:tcBorders/>
            <w:shd w:color="auto" w:fill="auto" w:val="clear"/>
          </w:tcPr>
          <w:p>
            <w:pPr>
              <w:pStyle w:val="Normal"/>
              <w:widowControl/>
              <w:spacing w:lineRule="auto" w:line="240" w:before="0" w:after="0"/>
              <w:ind w:start="170"/>
              <w:jc w:val="start"/>
              <w:rPr>
                <w:rFonts w:ascii="Verdana" w:hAnsi="Verdana" w:eastAsia="Times New Roman" w:cs="Times New Roman"/>
                <w:b/>
                <w:bCs/>
                <w:i/>
                <w:iCs/>
                <w:lang w:eastAsia="en-GB"/>
              </w:rPr>
            </w:pPr>
            <w:r>
              <w:rPr>
                <w:rFonts w:eastAsia="Times New Roman" w:cs="Times New Roman" w:ascii="Verdana" w:hAnsi="Verdana"/>
                <w:b/>
                <w:bCs/>
                <w:color w:themeColor="text1" w:val="000000"/>
                <w:kern w:val="0"/>
                <w:sz w:val="22"/>
                <w:szCs w:val="22"/>
                <w:lang w:val="en-GB" w:eastAsia="en-GB" w:bidi="ar-SA"/>
              </w:rPr>
              <w:t xml:space="preserve">Line Manager/Supervisor/President </w:t>
            </w:r>
          </w:p>
        </w:tc>
        <w:tc>
          <w:tcPr>
            <w:tcW w:w="5603" w:type="dxa"/>
            <w:tcBorders/>
            <w:shd w:color="auto" w:fill="auto"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Times New Roman" w:cs="Times New Roman" w:ascii="Verdana" w:hAnsi="Verdana"/>
                <w:i w:val="false"/>
                <w:iCs w:val="false"/>
                <w:color w:themeColor="text1" w:val="000000"/>
                <w:kern w:val="0"/>
                <w:sz w:val="22"/>
                <w:szCs w:val="22"/>
                <w:lang w:val="en-GB" w:eastAsia="en-GB" w:bidi="ar-SA"/>
              </w:rPr>
              <w:t>Millie Carter</w:t>
            </w:r>
          </w:p>
        </w:tc>
        <w:tc>
          <w:tcPr>
            <w:tcW w:w="2914" w:type="dxa"/>
            <w:tcBorders/>
            <w:shd w:color="auto" w:fill="BFBFBF" w:themeFill="background1" w:themeFillShade="bf"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Signed off</w:t>
            </w:r>
          </w:p>
        </w:tc>
        <w:tc>
          <w:tcPr>
            <w:tcW w:w="3205" w:type="dxa"/>
            <w:gridSpan w:val="2"/>
            <w:tcBorders/>
            <w:shd w:color="auto" w:fill="BFBFBF" w:themeFill="background1" w:themeFillShade="bf" w:val="clear"/>
          </w:tcPr>
          <w:p>
            <w:pPr>
              <w:pStyle w:val="ListParagraph"/>
              <w:widowControl/>
              <w:spacing w:lineRule="auto" w:line="240" w:before="0" w:after="0"/>
              <w:ind w:hanging="0" w:start="0"/>
              <w:contextualSpacing/>
              <w:jc w:val="start"/>
              <w:rPr>
                <w:rFonts w:ascii="Verdana" w:hAnsi="Verdana" w:eastAsia="Times New Roman" w:cs="Times New Roman"/>
                <w:b/>
                <w:i/>
                <w:kern w:val="0"/>
                <w:sz w:val="22"/>
                <w:szCs w:val="22"/>
                <w:lang w:val="en-GB" w:eastAsia="en-GB" w:bidi="ar-SA"/>
              </w:rPr>
            </w:pPr>
            <w:r>
              <w:rPr>
                <w:rFonts w:eastAsia="Times New Roman" w:cs="Times New Roman" w:ascii="Verdana" w:hAnsi="Verdana"/>
                <w:b/>
                <w:i/>
                <w:kern w:val="0"/>
                <w:sz w:val="22"/>
                <w:szCs w:val="22"/>
                <w:lang w:val="en-GB" w:eastAsia="en-GB" w:bidi="ar-SA"/>
              </w:rPr>
              <w:drawing>
                <wp:anchor distT="0" distB="0" distL="0" distR="0" simplePos="0" relativeHeight="10" behindDoc="0" locked="0" layoutInCell="1" allowOverlap="1">
                  <wp:simplePos x="0" y="0"/>
                  <wp:positionH relativeFrom="column">
                    <wp:posOffset>38100</wp:posOffset>
                  </wp:positionH>
                  <wp:positionV relativeFrom="paragraph">
                    <wp:posOffset>40005</wp:posOffset>
                  </wp:positionV>
                  <wp:extent cx="1760220" cy="470535"/>
                  <wp:effectExtent l="0" t="0" r="0" b="0"/>
                  <wp:wrapSquare wrapText="largest"/>
                  <wp:docPr id="1" name="Image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y 1"/>
                          <pic:cNvPicPr>
                            <a:picLocks noChangeAspect="1" noChangeArrowheads="1"/>
                          </pic:cNvPicPr>
                        </pic:nvPicPr>
                        <pic:blipFill>
                          <a:blip r:embed="rId2"/>
                          <a:stretch>
                            <a:fillRect/>
                          </a:stretch>
                        </pic:blipFill>
                        <pic:spPr bwMode="auto">
                          <a:xfrm>
                            <a:off x="0" y="0"/>
                            <a:ext cx="1760220" cy="470535"/>
                          </a:xfrm>
                          <a:prstGeom prst="rect">
                            <a:avLst/>
                          </a:prstGeom>
                          <a:noFill/>
                        </pic:spPr>
                      </pic:pic>
                    </a:graphicData>
                  </a:graphic>
                </wp:anchor>
              </w:drawing>
            </w:r>
          </w:p>
        </w:tc>
      </w:tr>
      <w:tr>
        <w:trPr>
          <w:trHeight w:val="300" w:hRule="atLeast"/>
        </w:trPr>
        <w:tc>
          <w:tcPr>
            <w:tcW w:w="3522" w:type="dxa"/>
            <w:tcBorders/>
            <w:shd w:color="auto" w:fill="auto" w:val="clear"/>
          </w:tcPr>
          <w:p>
            <w:pPr>
              <w:pStyle w:val="Normal"/>
              <w:widowControl/>
              <w:spacing w:lineRule="auto" w:line="240" w:before="0" w:after="0"/>
              <w:ind w:start="0"/>
              <w:jc w:val="start"/>
              <w:rPr>
                <w:rFonts w:ascii="Verdana" w:hAnsi="Verdana" w:eastAsia="Times New Roman" w:cs="Times New Roman"/>
                <w:b/>
                <w:bCs/>
                <w:color w:themeColor="text1" w:val="000000"/>
                <w:lang w:eastAsia="en-GB"/>
              </w:rPr>
            </w:pPr>
            <w:r>
              <w:rPr>
                <w:rFonts w:eastAsia="Times New Roman" w:cs="Times New Roman" w:ascii="Verdana" w:hAnsi="Verdana"/>
                <w:b/>
                <w:bCs/>
                <w:color w:themeColor="text1" w:val="000000"/>
                <w:kern w:val="0"/>
                <w:sz w:val="22"/>
                <w:szCs w:val="22"/>
                <w:lang w:val="en-GB" w:eastAsia="en-GB" w:bidi="ar-SA"/>
              </w:rPr>
              <w:t xml:space="preserve">  </w:t>
            </w:r>
            <w:r>
              <w:rPr>
                <w:rFonts w:eastAsia="Times New Roman" w:cs="Times New Roman" w:ascii="Verdana" w:hAnsi="Verdana"/>
                <w:b/>
                <w:bCs/>
                <w:color w:themeColor="text1" w:val="000000"/>
                <w:kern w:val="0"/>
                <w:sz w:val="22"/>
                <w:szCs w:val="22"/>
                <w:lang w:val="en-GB" w:eastAsia="en-GB" w:bidi="ar-SA"/>
              </w:rPr>
              <w:t>Description of activity/event</w:t>
            </w:r>
          </w:p>
        </w:tc>
        <w:tc>
          <w:tcPr>
            <w:tcW w:w="11722" w:type="dxa"/>
            <w:gridSpan w:val="4"/>
            <w:tcBorders/>
            <w:shd w:color="auto" w:fill="auto" w:val="clear"/>
          </w:tcPr>
          <w:p>
            <w:pPr>
              <w:pStyle w:val="Normal"/>
              <w:widowControl/>
              <w:suppressLineNumbers w:val="0"/>
              <w:bidi w:val="0"/>
              <w:spacing w:lineRule="auto" w:line="240" w:beforeAutospacing="0" w:before="0" w:afterAutospacing="0" w:after="0"/>
              <w:ind w:hanging="0" w:start="0" w:end="0"/>
              <w:jc w:val="start"/>
              <w:rPr>
                <w:rFonts w:ascii="Verdana" w:hAnsi="Verdana" w:eastAsia="Verdana" w:cs="Verdana"/>
                <w:b w:val="false"/>
                <w:bCs w:val="false"/>
                <w:i w:val="false"/>
                <w:iCs w:val="false"/>
                <w:caps w:val="false"/>
                <w:smallCaps w:val="false"/>
                <w:color w:themeColor="text1" w:val="000000"/>
                <w:sz w:val="22"/>
                <w:szCs w:val="22"/>
                <w:lang w:val="en-GB"/>
              </w:rPr>
            </w:pPr>
            <w:r>
              <w:rPr>
                <w:rFonts w:eastAsia="Verdana" w:cs="Verdana" w:ascii="Verdana" w:hAnsi="Verdana"/>
                <w:b w:val="false"/>
                <w:bCs w:val="false"/>
                <w:i w:val="false"/>
                <w:iCs w:val="false"/>
                <w:caps w:val="false"/>
                <w:smallCaps w:val="false"/>
                <w:color w:themeColor="text1" w:val="000000"/>
                <w:kern w:val="0"/>
                <w:sz w:val="22"/>
                <w:szCs w:val="22"/>
                <w:lang w:val="en-GB" w:eastAsia="en-US" w:bidi="ar-SA"/>
              </w:rPr>
              <w:t>We will be holding a board / card game social on campus in week one of term.</w:t>
            </w:r>
          </w:p>
          <w:p>
            <w:pPr>
              <w:pStyle w:val="Normal"/>
              <w:widowControl/>
              <w:spacing w:lineRule="auto" w:line="240" w:before="0" w:after="0"/>
              <w:ind w:start="0"/>
              <w:jc w:val="start"/>
              <w:rPr>
                <w:rFonts w:ascii="Verdana" w:hAnsi="Verdana" w:eastAsia="Times New Roman" w:cs="Times New Roman"/>
                <w:i/>
                <w:iCs/>
                <w:color w:themeColor="text1" w:val="000000"/>
                <w:sz w:val="22"/>
                <w:szCs w:val="22"/>
                <w:lang w:eastAsia="en-GB"/>
              </w:rPr>
            </w:pPr>
            <w:r>
              <w:rPr>
                <w:rFonts w:eastAsia="Times New Roman" w:cs="Times New Roman" w:ascii="Verdana" w:hAnsi="Verdana"/>
                <w:i/>
                <w:iCs/>
                <w:color w:themeColor="text1" w:val="000000"/>
                <w:kern w:val="0"/>
                <w:sz w:val="22"/>
                <w:szCs w:val="22"/>
                <w:lang w:val="en-GB" w:eastAsia="en-GB" w:bidi="ar-SA"/>
              </w:rPr>
            </w:r>
          </w:p>
        </w:tc>
      </w:tr>
    </w:tbl>
    <w:p>
      <w:pPr>
        <w:pStyle w:val="Normal"/>
        <w:shd w:val="clear" w:color="auto" w:fill="BFBFBF" w:themeFill="background1" w:themeFillShade="bf"/>
        <w:spacing w:before="0" w:after="0"/>
        <w:rPr>
          <w:rFonts w:ascii="Georgia" w:hAnsi="Georgia"/>
          <w:sz w:val="2"/>
          <w:szCs w:val="2"/>
        </w:rPr>
      </w:pPr>
      <w:r>
        <w:rPr>
          <w:rFonts w:ascii="Georgia" w:hAnsi="Georgia"/>
          <w:sz w:val="2"/>
          <w:szCs w:val="2"/>
        </w:rPr>
      </w:r>
    </w:p>
    <w:p>
      <w:pPr>
        <w:pStyle w:val="Normal"/>
        <w:rPr/>
      </w:pPr>
      <w:r>
        <w:rPr/>
      </w:r>
    </w:p>
    <w:tbl>
      <w:tblPr>
        <w:tblStyle w:val="TableGrid"/>
        <w:tblW w:w="1538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409"/>
        <w:gridCol w:w="1861"/>
        <w:gridCol w:w="1649"/>
        <w:gridCol w:w="601"/>
        <w:gridCol w:w="555"/>
        <w:gridCol w:w="629"/>
        <w:gridCol w:w="4223"/>
        <w:gridCol w:w="488"/>
        <w:gridCol w:w="489"/>
        <w:gridCol w:w="490"/>
        <w:gridCol w:w="2995"/>
      </w:tblGrid>
      <w:tr>
        <w:trPr>
          <w:tblHeader w:val="true"/>
        </w:trPr>
        <w:tc>
          <w:tcPr>
            <w:tcW w:w="15389" w:type="dxa"/>
            <w:gridSpan w:val="11"/>
            <w:tcBorders/>
            <w:shd w:color="auto" w:fill="F2F2F2" w:themeFill="background1" w:themeFillShade="f2" w:val="clear"/>
          </w:tcPr>
          <w:p>
            <w:pPr>
              <w:pStyle w:val="Normal"/>
              <w:widowControl/>
              <w:spacing w:lineRule="auto" w:line="240" w:before="0" w:after="0"/>
              <w:jc w:val="start"/>
              <w:rPr>
                <w:rFonts w:ascii="Lucida Sans" w:hAnsi="Lucida Sans"/>
                <w:b/>
              </w:rPr>
            </w:pPr>
            <w:r>
              <w:rPr>
                <w:rFonts w:eastAsia="Calibri" w:cs="Calibri" w:ascii="Lucida Sans" w:hAnsi="Lucida Sans" w:cstheme="minorHAnsi"/>
                <w:b/>
                <w:bCs/>
                <w:i/>
                <w:kern w:val="0"/>
                <w:sz w:val="24"/>
                <w:szCs w:val="24"/>
                <w:lang w:val="en-GB" w:eastAsia="en-US" w:bidi="ar-SA"/>
              </w:rPr>
              <w:t xml:space="preserve">PART A </w:t>
            </w:r>
          </w:p>
        </w:tc>
      </w:tr>
      <w:tr>
        <w:trPr>
          <w:tblHeader w:val="true"/>
        </w:trPr>
        <w:tc>
          <w:tcPr>
            <w:tcW w:w="4919"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(1) Risk identification</w:t>
            </w:r>
          </w:p>
        </w:tc>
        <w:tc>
          <w:tcPr>
            <w:tcW w:w="6008" w:type="dxa"/>
            <w:gridSpan w:val="4"/>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(2) Risk assessment</w:t>
            </w:r>
          </w:p>
        </w:tc>
        <w:tc>
          <w:tcPr>
            <w:tcW w:w="4462" w:type="dxa"/>
            <w:gridSpan w:val="4"/>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(3) Risk management</w:t>
            </w:r>
          </w:p>
        </w:tc>
      </w:tr>
      <w:tr>
        <w:trPr>
          <w:tblHeader w:val="true"/>
        </w:trPr>
        <w:tc>
          <w:tcPr>
            <w:tcW w:w="1409" w:type="dxa"/>
            <w:vMerge w:val="restart"/>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Hazard</w:t>
            </w:r>
          </w:p>
        </w:tc>
        <w:tc>
          <w:tcPr>
            <w:tcW w:w="1861" w:type="dxa"/>
            <w:vMerge w:val="restart"/>
            <w:tcBorders/>
            <w:shd w:color="auto" w:fill="F2F2F2" w:themeFill="background1" w:themeFillShade="f2" w:val="clear"/>
          </w:tcPr>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Potential Consequences</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vMerge w:val="restart"/>
            <w:tcBorders/>
            <w:shd w:color="auto" w:fill="F2F2F2" w:themeFill="background1" w:themeFillShade="f2" w:val="clear"/>
          </w:tcPr>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Who might be harmed</w:t>
            </w:r>
          </w:p>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r>
          </w:p>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(user; those nearby; those in the vicinity; members of the public)</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785"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Inherent</w:t>
            </w:r>
          </w:p>
        </w:tc>
        <w:tc>
          <w:tcPr>
            <w:tcW w:w="4223" w:type="dxa"/>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467"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Residual</w:t>
            </w:r>
          </w:p>
        </w:tc>
        <w:tc>
          <w:tcPr>
            <w:tcW w:w="2995" w:type="dxa"/>
            <w:vMerge w:val="restart"/>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Further controls (use the risk hierarchy)</w:t>
            </w:r>
          </w:p>
        </w:tc>
      </w:tr>
      <w:tr>
        <w:trPr>
          <w:tblHeader w:val="true"/>
          <w:trHeight w:val="1510" w:hRule="atLeast"/>
          <w:cantSplit/>
        </w:trPr>
        <w:tc>
          <w:tcPr>
            <w:tcW w:w="1409"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861"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601"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Likelihood</w:t>
            </w:r>
          </w:p>
        </w:tc>
        <w:tc>
          <w:tcPr>
            <w:tcW w:w="555"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Impact</w:t>
            </w:r>
          </w:p>
        </w:tc>
        <w:tc>
          <w:tcPr>
            <w:tcW w:w="629"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Score</w:t>
            </w:r>
          </w:p>
        </w:tc>
        <w:tc>
          <w:tcPr>
            <w:tcW w:w="4223" w:type="dxa"/>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Control measures (use the risk hierarchy)</w:t>
            </w:r>
          </w:p>
        </w:tc>
        <w:tc>
          <w:tcPr>
            <w:tcW w:w="488"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Likelihood</w:t>
            </w:r>
          </w:p>
        </w:tc>
        <w:tc>
          <w:tcPr>
            <w:tcW w:w="489"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Impact</w:t>
            </w:r>
          </w:p>
        </w:tc>
        <w:tc>
          <w:tcPr>
            <w:tcW w:w="490"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Score</w:t>
            </w:r>
          </w:p>
        </w:tc>
        <w:tc>
          <w:tcPr>
            <w:tcW w:w="2995"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Anti-social, violent or offensive behaviour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Disturbance to the neighbourhood, reputational damage, injury and distress as a result of violence</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Event organisers, event attendees, public</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10</w:t>
            </w:r>
          </w:p>
        </w:tc>
        <w:tc>
          <w:tcPr>
            <w:tcW w:w="4223" w:type="dxa"/>
            <w:tcBorders/>
            <w:shd w:color="auto" w:fill="FFFFFF" w:themeFill="background1" w:val="clear"/>
          </w:tcPr>
          <w:p>
            <w:pPr>
              <w:pStyle w:val="NoSpacing"/>
              <w:widowControl/>
              <w:spacing w:before="0" w:after="0"/>
              <w:ind w:start="0"/>
              <w:jc w:val="start"/>
              <w:rPr>
                <w:color w:themeColor="text1" w:val="000000"/>
              </w:rPr>
            </w:pPr>
            <w:r>
              <w:rPr>
                <w:rFonts w:eastAsia="Calibri" w:cs="Arial"/>
                <w:kern w:val="0"/>
                <w:sz w:val="22"/>
                <w:szCs w:val="22"/>
                <w:lang w:val="en-GB" w:eastAsia="en-US" w:bidi="ar-SA"/>
              </w:rPr>
              <w:t xml:space="preserve">Bouncers will be present at most venues. </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color w:themeColor="text1" w:val="000000"/>
              </w:rPr>
            </w:pPr>
            <w:r>
              <w:rPr>
                <w:rFonts w:eastAsia="Calibri" w:cs="Arial"/>
                <w:kern w:val="0"/>
                <w:sz w:val="22"/>
                <w:szCs w:val="22"/>
                <w:lang w:val="en-GB" w:eastAsia="en-US" w:bidi="ar-SA"/>
              </w:rPr>
              <w:t xml:space="preserve">Bar Security staff will need to be alerted and emergency services called as required. </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color w:themeColor="text1" w:val="000000"/>
                <w:kern w:val="0"/>
                <w:sz w:val="22"/>
                <w:szCs w:val="22"/>
                <w:lang w:val="en-GB" w:eastAsia="en-US" w:bidi="ar-SA"/>
              </w:rPr>
              <w:t>Do not personally engage with any violent behaviour. Stay safe and inform the bar staff/police if necessary.</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color w:themeColor="text1" w:val="000000"/>
              </w:rPr>
            </w:pPr>
            <w:r>
              <w:rPr>
                <w:rFonts w:eastAsia="Calibri" w:cs="Arial"/>
                <w:kern w:val="0"/>
                <w:sz w:val="22"/>
                <w:szCs w:val="22"/>
                <w:lang w:val="en-GB" w:eastAsia="en-US" w:bidi="ar-SA"/>
              </w:rPr>
              <w:t>The consumption of alcohol will take place at licensed premises. The conditions on the license will be adhered to and alcohol will not be served to customers who have drunk to excess.</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Committee to select ‘student friendly’ bars/clubs and contact them in advance to inform them of the event.</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Society to follow and share with members Code of Conduct/SUSU </w:t>
            </w:r>
            <w:hyperlink r:id="rId3">
              <w:r>
                <w:rPr>
                  <w:rStyle w:val="Hyperlink"/>
                  <w:rFonts w:eastAsia="Calibri" w:cs="Arial"/>
                  <w:kern w:val="0"/>
                  <w:sz w:val="22"/>
                  <w:szCs w:val="22"/>
                  <w:u w:val="none"/>
                  <w:lang w:val="en-GB" w:eastAsia="en-US" w:bidi="ar-SA"/>
                </w:rPr>
                <w:t>Expect Respect policy.</w:t>
              </w:r>
            </w:hyperlink>
          </w:p>
          <w:p>
            <w:pPr>
              <w:pStyle w:val="NoSpacing"/>
              <w:widowControl/>
              <w:spacing w:before="0" w:after="0"/>
              <w:ind w:start="0"/>
              <w:jc w:val="start"/>
              <w:rPr>
                <w:u w:val="none"/>
              </w:rPr>
            </w:pPr>
            <w:r>
              <w:rPr>
                <w:rFonts w:eastAsia="Calibri" w:cs="Arial"/>
                <w:kern w:val="0"/>
                <w:sz w:val="22"/>
                <w:szCs w:val="22"/>
                <w:u w:val="none"/>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2995" w:type="dxa"/>
            <w:tcBorders/>
            <w:shd w:color="auto" w:fill="FFFFFF" w:themeFill="background1"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If the situation becomes very serious and results in the participant being arrested then it will be made clear that they cannot be accompanied to the police station. </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ind w:start="0"/>
              <w:jc w:val="start"/>
              <w:rPr>
                <w:rStyle w:val="Hyperlink"/>
              </w:rPr>
            </w:pPr>
            <w:r>
              <w:rPr>
                <w:rFonts w:eastAsia="Calibri" w:cs="Arial"/>
                <w:color w:themeColor="text1" w:val="000000"/>
                <w:kern w:val="0"/>
                <w:sz w:val="22"/>
                <w:szCs w:val="22"/>
                <w:lang w:val="en-GB" w:eastAsia="en-US" w:bidi="ar-SA"/>
              </w:rPr>
              <w:t xml:space="preserve">Follow </w:t>
            </w:r>
            <w:hyperlink r:id="rId4">
              <w:r>
                <w:rPr>
                  <w:rStyle w:val="Hyperlink"/>
                  <w:rFonts w:eastAsia="Calibri" w:cs="Arial"/>
                  <w:kern w:val="0"/>
                  <w:sz w:val="22"/>
                  <w:szCs w:val="22"/>
                  <w:lang w:val="en-GB" w:eastAsia="en-US" w:bidi="ar-SA"/>
                </w:rPr>
                <w:t>SUSU incident report policy.</w:t>
              </w:r>
            </w:hyperlink>
          </w:p>
          <w:p>
            <w:pPr>
              <w:pStyle w:val="Normal"/>
              <w:widowControl/>
              <w:spacing w:lineRule="auto" w:line="240" w:before="0" w:after="0"/>
              <w:ind w:start="0"/>
              <w:jc w:val="start"/>
              <w:rPr>
                <w:color w:themeColor="text1" w:val="000000"/>
              </w:rPr>
            </w:pPr>
            <w:r>
              <w:rPr>
                <w:rFonts w:eastAsia="Calibri" w:cs="Arial"/>
                <w:color w:themeColor="text1" w:val="000000"/>
                <w:kern w:val="0"/>
                <w:sz w:val="22"/>
                <w:szCs w:val="22"/>
                <w:lang w:val="en-GB" w:eastAsia="en-US" w:bidi="ar-SA"/>
              </w:rPr>
            </w:r>
          </w:p>
          <w:p>
            <w:pPr>
              <w:pStyle w:val="Normal"/>
              <w:widowControl/>
              <w:spacing w:lineRule="auto" w:line="240" w:before="0" w:after="0"/>
              <w:ind w:start="0"/>
              <w:jc w:val="start"/>
              <w:rPr>
                <w:color w:themeColor="text1" w:val="000000"/>
              </w:rPr>
            </w:pPr>
            <w:r>
              <w:rPr>
                <w:rFonts w:eastAsia="Calibri" w:cs="Arial"/>
                <w:color w:themeColor="text1" w:val="000000"/>
                <w:kern w:val="0"/>
                <w:sz w:val="22"/>
                <w:szCs w:val="22"/>
                <w:lang w:val="en-GB" w:eastAsia="en-US" w:bidi="ar-SA"/>
              </w:rPr>
              <w:t>Call emergency services as required.</w:t>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Slips, trips and falls</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Physical injury, potentially exacerbated by alcohol consumption.</w:t>
            </w:r>
          </w:p>
          <w:p>
            <w:pPr>
              <w:pStyle w:val="Normal"/>
              <w:widowControl/>
              <w:suppressLineNumbers w:val="0"/>
              <w:bidi w:val="0"/>
              <w:spacing w:lineRule="auto" w:line="240" w:beforeAutospacing="0" w:before="0" w:afterAutospacing="0" w:after="0"/>
              <w:ind w:start="0" w:end="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Event organisers, event attendees</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6</w:t>
            </w:r>
          </w:p>
        </w:tc>
        <w:tc>
          <w:tcPr>
            <w:tcW w:w="4223" w:type="dxa"/>
            <w:tcBorders/>
            <w:shd w:color="auto" w:fill="FFFFFF" w:themeFill="background1" w:val="clear"/>
          </w:tcPr>
          <w:p>
            <w:pPr>
              <w:pStyle w:val="NoSpacing"/>
              <w:widowControl/>
              <w:spacing w:before="0" w:after="0"/>
              <w:ind w:start="0"/>
              <w:jc w:val="start"/>
              <w:rPr>
                <w:color w:themeColor="text1" w:val="000000"/>
              </w:rPr>
            </w:pPr>
            <w:r>
              <w:rPr>
                <w:rFonts w:eastAsia="Calibri" w:cs="Arial"/>
                <w:kern w:val="0"/>
                <w:sz w:val="22"/>
                <w:szCs w:val="22"/>
                <w:lang w:val="en-GB" w:eastAsia="en-US" w:bidi="ar-SA"/>
              </w:rPr>
              <w:t>Committee to check that chosen venues meet the following requirements: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Venue is in good condition with no major trip hazards.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Bar staff monitor the condition of the floors &amp; mop up split drinks.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Security staff &amp; bar staff provide first aid cover.</w:t>
            </w:r>
          </w:p>
          <w:p>
            <w:pPr>
              <w:pStyle w:val="NoSpacing"/>
              <w:widowControl/>
              <w:numPr>
                <w:ilvl w:val="0"/>
                <w:numId w:val="3"/>
              </w:numPr>
              <w:spacing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DJ’s or band’s equipment placed so as not to form a trip hazard. Power supply leads taped down.</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jc w:val="start"/>
              <w:rPr>
                <w:rFonts w:ascii="Calibri" w:hAnsi="Calibri" w:eastAsia="Calibri" w:cs="Calibri"/>
                <w:sz w:val="22"/>
                <w:szCs w:val="22"/>
                <w:lang w:val="en-GB"/>
              </w:rPr>
            </w:pPr>
            <w:r>
              <w:rPr>
                <w:rFonts w:eastAsia="Calibri" w:cs="Calibri"/>
                <w:b w:val="false"/>
                <w:bCs w:val="false"/>
                <w:i w:val="false"/>
                <w:iCs w:val="false"/>
                <w:caps w:val="false"/>
                <w:smallCaps w:val="false"/>
                <w:strike w:val="false"/>
                <w:dstrike w:val="false"/>
                <w:color w:themeColor="text1" w:val="000000"/>
                <w:kern w:val="0"/>
                <w:sz w:val="22"/>
                <w:szCs w:val="22"/>
                <w:u w:val="none"/>
                <w:lang w:val="en-GB" w:eastAsia="en-US" w:bidi="ar-SA"/>
              </w:rPr>
              <w:t>Report any trip hazards to venue staff asap.</w:t>
            </w:r>
          </w:p>
          <w:p>
            <w:pPr>
              <w:pStyle w:val="Normal"/>
              <w:widowControl/>
              <w:spacing w:lineRule="auto" w:line="240" w:before="0" w:after="0"/>
              <w:jc w:val="start"/>
              <w:rPr>
                <w:rFonts w:ascii="Calibri" w:hAnsi="Calibri" w:eastAsia="Calibri" w:cs="Calibri"/>
                <w:b w:val="false"/>
                <w:bCs w:val="false"/>
                <w:i w:val="false"/>
                <w:iCs w:val="false"/>
                <w:caps w:val="false"/>
                <w:smallCaps w:val="false"/>
                <w:strike w:val="false"/>
                <w:dstrike w:val="false"/>
                <w:color w:themeColor="text1" w:val="000000"/>
                <w:sz w:val="22"/>
                <w:szCs w:val="22"/>
                <w:u w:val="none"/>
                <w:lang w:val="en-GB"/>
              </w:rPr>
            </w:pPr>
            <w:r>
              <w:rPr>
                <w:rFonts w:eastAsia="Calibri" w:cs="Calibri"/>
                <w:b w:val="false"/>
                <w:bCs w:val="false"/>
                <w:i w:val="false"/>
                <w:iCs w:val="false"/>
                <w:caps w:val="false"/>
                <w:smallCaps w:val="false"/>
                <w:strike w:val="false"/>
                <w:dstrike w:val="false"/>
                <w:color w:themeColor="text1" w:val="000000"/>
                <w:kern w:val="0"/>
                <w:sz w:val="22"/>
                <w:szCs w:val="22"/>
                <w:u w:val="none"/>
                <w:lang w:val="en-GB" w:eastAsia="en-US" w:bidi="ar-SA"/>
              </w:rPr>
            </w:r>
          </w:p>
          <w:p>
            <w:pPr>
              <w:pStyle w:val="Normal"/>
              <w:widowControl/>
              <w:spacing w:lineRule="auto" w:line="240" w:before="0" w:after="0"/>
              <w:jc w:val="start"/>
              <w:rPr>
                <w:rFonts w:ascii="Calibri" w:hAnsi="Calibri" w:eastAsia="Calibri" w:cs="Calibri"/>
                <w:sz w:val="22"/>
                <w:szCs w:val="22"/>
                <w:lang w:val="en-GB"/>
              </w:rPr>
            </w:pPr>
            <w:r>
              <w:rPr>
                <w:rFonts w:eastAsia="Calibri" w:cs="Calibri"/>
                <w:b w:val="false"/>
                <w:bCs w:val="false"/>
                <w:i w:val="false"/>
                <w:iCs w:val="false"/>
                <w:caps w:val="false"/>
                <w:smallCaps w:val="false"/>
                <w:strike w:val="false"/>
                <w:dstrike w:val="false"/>
                <w:color w:themeColor="text1" w:val="000000"/>
                <w:kern w:val="0"/>
                <w:sz w:val="22"/>
                <w:szCs w:val="22"/>
                <w:u w:val="none"/>
                <w:lang w:val="en-GB" w:eastAsia="en-US" w:bidi="ar-SA"/>
              </w:rPr>
              <w:t>All equipment, bags, etc. to be stored away from main meeting area, e.g. stored under tables.</w:t>
            </w:r>
          </w:p>
          <w:p>
            <w:pPr>
              <w:pStyle w:val="Normal"/>
              <w:widowControl/>
              <w:spacing w:lineRule="auto" w:line="240" w:before="0" w:after="0"/>
              <w:jc w:val="start"/>
              <w:rPr>
                <w:rFonts w:ascii="Calibri" w:hAnsi="Calibri" w:eastAsia="Calibri" w:cs="Calibri"/>
                <w:b w:val="false"/>
                <w:bCs w:val="false"/>
                <w:i w:val="false"/>
                <w:iCs w:val="false"/>
                <w:caps w:val="false"/>
                <w:smallCaps w:val="false"/>
                <w:strike w:val="false"/>
                <w:dstrike w:val="false"/>
                <w:color w:themeColor="text1" w:val="000000"/>
                <w:sz w:val="22"/>
                <w:szCs w:val="22"/>
                <w:u w:val="none"/>
                <w:lang w:val="en-GB"/>
              </w:rPr>
            </w:pPr>
            <w:r>
              <w:rPr>
                <w:rFonts w:eastAsia="Calibri" w:cs="Calibri"/>
                <w:b w:val="false"/>
                <w:bCs w:val="false"/>
                <w:i w:val="false"/>
                <w:iCs w:val="false"/>
                <w:caps w:val="false"/>
                <w:smallCaps w:val="false"/>
                <w:strike w:val="false"/>
                <w:dstrike w:val="false"/>
                <w:color w:themeColor="text1" w:val="000000"/>
                <w:kern w:val="0"/>
                <w:sz w:val="22"/>
                <w:szCs w:val="22"/>
                <w:u w:val="none"/>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If the injury is serious and participant in a lot of pain or discomfort, seek medical attention immediately.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Call 999 in an emergency.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Any incidents need to be reported as soon as possible ensuring duty manager/health and safety officers have been informed.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Follow SUSU incident report policy.</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Allergies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Allergic reactions to food and drink</w:t>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Attendees</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15</w:t>
            </w:r>
          </w:p>
        </w:tc>
        <w:tc>
          <w:tcPr>
            <w:tcW w:w="4223" w:type="dxa"/>
            <w:tcBorders/>
            <w:shd w:color="auto" w:fill="FFFFFF" w:themeFill="background1" w:val="clear"/>
          </w:tcPr>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Attendees responsible for own welfare in such instances.</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First aid administered as required.</w:t>
            </w:r>
          </w:p>
          <w:p>
            <w:pPr>
              <w:pStyle w:val="NoSpacing"/>
              <w:widowControl/>
              <w:spacing w:before="0" w:after="0"/>
              <w:ind w:start="72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2995" w:type="dxa"/>
            <w:tcBorders/>
            <w:shd w:color="auto" w:fill="FFFFFF" w:themeFill="background1"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Call Emergency Services/alert university staff if necessary.</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Follow SUSU incident report policy.</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Fire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Smoke inhalation, burns. Risk of extreme harm.</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All participants and organisers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601"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1</w:t>
            </w:r>
          </w:p>
        </w:tc>
        <w:tc>
          <w:tcPr>
            <w:tcW w:w="555"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5</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Those leading the session must ensure they are aware of and fully understand the venue or location’s fire procedures.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Those leading must make sure that all exit routes are clearly highlighted and report any issues immediately to the venue.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Highlight to all the participants the nearest emergency exit routes at the start of a session, and the importance of leaving calmly in case of an emergency.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Avoid build-up of debris in the activity area.</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Consider accessibility requirements.</w:t>
            </w:r>
          </w:p>
          <w:p>
            <w:pPr>
              <w:pStyle w:val="Normal"/>
              <w:widowControl/>
              <w:spacing w:lineRule="auto" w:line="240" w:before="0" w:after="0"/>
              <w:ind w:start="493"/>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4</w:t>
            </w:r>
          </w:p>
        </w:tc>
        <w:tc>
          <w:tcPr>
            <w:tcW w:w="490"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4</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In case of an emergency, pull nearest fire alarm and ensure all participants leave the venue calmly and safely.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Once in a safe position to do so, call the emergency services on 999.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Any incidents need to be reported as soon as possible ensuring duty manager/health and safety officers have been informed.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Follow SUSU incident report policy.</w:t>
            </w:r>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Overcrowding / Inadequate Meeting Space</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Physical injury, distress, exclusion </w:t>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Event organisers and attendees</w:t>
            </w:r>
          </w:p>
        </w:tc>
        <w:tc>
          <w:tcPr>
            <w:tcW w:w="60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3</w:t>
            </w:r>
          </w:p>
        </w:tc>
        <w:tc>
          <w:tcPr>
            <w:tcW w:w="62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6</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Do not push/shove.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If large crowds form, request barriers from venue staff to assist with crowd management.</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Committee checks on space, lighting, access, tech available, etc.</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Consider using a booking system (SUSU Box Office) to increase accuracy of expected attendees, and to avoid exceeding venue capacity.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Ensure space meets needs of members e.g. considering location &amp; accessibility of space (use </w:t>
            </w:r>
            <w:hyperlink r:id="rId5">
              <w:r>
                <w:rPr>
                  <w:rStyle w:val="Hyperlink"/>
                  <w:rFonts w:eastAsia="Calibri" w:cs="Calibri"/>
                  <w:b w:val="false"/>
                  <w:bCs w:val="false"/>
                  <w:i w:val="false"/>
                  <w:iCs w:val="false"/>
                  <w:caps w:val="false"/>
                  <w:smallCaps w:val="false"/>
                  <w:strike w:val="false"/>
                  <w:dstrike w:val="false"/>
                  <w:kern w:val="0"/>
                  <w:sz w:val="22"/>
                  <w:szCs w:val="22"/>
                  <w:lang w:val="en-GB" w:eastAsia="en-US" w:bidi="ar-SA"/>
                </w:rPr>
                <w:t>AcessAble</w:t>
              </w:r>
            </w:hyperlink>
            <w:r>
              <w:rPr>
                <w:rFonts w:eastAsia="Calibri" w:cs="Calibri"/>
                <w:b w:val="false"/>
                <w:bCs w:val="false"/>
                <w:i w:val="false"/>
                <w:iCs w:val="false"/>
                <w:caps w:val="false"/>
                <w:smallCaps w:val="false"/>
                <w:color w:themeColor="text1" w:val="000000"/>
                <w:kern w:val="0"/>
                <w:sz w:val="22"/>
                <w:szCs w:val="22"/>
                <w:lang w:val="en-GB" w:eastAsia="en-US" w:bidi="ar-SA"/>
              </w:rPr>
              <w:t xml:space="preserve"> database to check accessibility information).</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If an open activity, committee will consider all accessibility requirements and ensure that the area chosen is as accessible as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Committee to consult members on needs and make reasonable adjustments where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Provide remote meeting options for members where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3</w:t>
            </w:r>
          </w:p>
        </w:tc>
        <w:tc>
          <w:tcPr>
            <w:tcW w:w="2995" w:type="dxa"/>
            <w:tcBorders/>
            <w:shd w:color="auto" w:fill="FFFFFF" w:themeFill="background1" w:val="clear"/>
          </w:tcPr>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Seek medical attention if problem arises</w:t>
            </w:r>
          </w:p>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Postpone meetings/rearrange venue when space cannot be found.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Welfare Officer to complete WIDE training.</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All incidents are to be reported on the as soon as possible ensuring the duty manager/health and safety officer have been informed.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Follow </w:t>
            </w:r>
            <w:hyperlink r:id="rId6">
              <w:r>
                <w:rPr>
                  <w:rStyle w:val="Hyperlink"/>
                  <w:rFonts w:eastAsia="Calibri" w:cs="Calibri"/>
                  <w:b w:val="false"/>
                  <w:bCs w:val="false"/>
                  <w:i w:val="false"/>
                  <w:iCs w:val="false"/>
                  <w:caps w:val="false"/>
                  <w:smallCaps w:val="false"/>
                  <w:strike w:val="false"/>
                  <w:dstrike w:val="false"/>
                  <w:color w:val="0000FF"/>
                  <w:kern w:val="0"/>
                  <w:sz w:val="22"/>
                  <w:szCs w:val="22"/>
                  <w:u w:val="single"/>
                  <w:lang w:val="en-GB" w:eastAsia="en-US" w:bidi="ar-SA"/>
                </w:rPr>
                <w:t>SUSU incident report policy</w:t>
              </w:r>
            </w:hyperlink>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Medical emergency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Members may sustain injury /become unwell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Pre-existing medical conditions, sickness, distress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Event organisers and attendees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r>
          </w:p>
        </w:tc>
        <w:tc>
          <w:tcPr>
            <w:tcW w:w="60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1</w:t>
            </w:r>
          </w:p>
        </w:tc>
        <w:tc>
          <w:tcPr>
            <w:tcW w:w="55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5</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b w:val="false"/>
                <w:bCs w:val="false"/>
                <w:i w:val="false"/>
                <w:iCs w:val="false"/>
                <w:caps w:val="false"/>
                <w:smallCaps w:val="false"/>
                <w:color w:themeColor="text1" w:val="000000"/>
                <w:kern w:val="0"/>
                <w:sz w:val="22"/>
                <w:szCs w:val="22"/>
                <w:lang w:val="en-GB" w:eastAsia="en-US" w:bidi="ar-SA"/>
              </w:rPr>
              <w:t>Advise participants to bring their personal medication if it might be required.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Members/Committee to carry out first aid if necessary and </w:t>
            </w:r>
            <w:r>
              <w:rPr>
                <w:rFonts w:eastAsia="Calibri" w:cs="Calibri"/>
                <w:b w:val="false"/>
                <w:bCs w:val="false"/>
                <w:i w:val="false"/>
                <w:iCs w:val="false"/>
                <w:caps w:val="false"/>
                <w:smallCaps w:val="false"/>
                <w:strike w:val="false"/>
                <w:dstrike w:val="false"/>
                <w:color w:themeColor="text1" w:val="000000"/>
                <w:kern w:val="0"/>
                <w:sz w:val="22"/>
                <w:szCs w:val="22"/>
                <w:u w:val="single"/>
                <w:lang w:val="en-GB" w:eastAsia="en-US" w:bidi="ar-SA"/>
              </w:rPr>
              <w:t>only if</w:t>
            </w:r>
            <w:r>
              <w:rPr>
                <w:rFonts w:eastAsia="Calibri" w:cs="Calibri"/>
                <w:b w:val="false"/>
                <w:bCs w:val="false"/>
                <w:i w:val="false"/>
                <w:iCs w:val="false"/>
                <w:caps w:val="false"/>
                <w:smallCaps w:val="false"/>
                <w:color w:themeColor="text1" w:val="000000"/>
                <w:kern w:val="0"/>
                <w:sz w:val="22"/>
                <w:szCs w:val="22"/>
                <w:lang w:val="en-GB" w:eastAsia="en-US" w:bidi="ar-SA"/>
              </w:rPr>
              <w:t xml:space="preserve"> qualified and confident to do so.</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Contact emergency services as required 111/999.</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Contact venue staff for first aid support.</w:t>
            </w:r>
          </w:p>
        </w:tc>
        <w:tc>
          <w:tcPr>
            <w:tcW w:w="488"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4</w:t>
            </w:r>
          </w:p>
        </w:tc>
        <w:tc>
          <w:tcPr>
            <w:tcW w:w="490"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bCs/>
                <w:i w:val="false"/>
                <w:iCs w:val="false"/>
                <w:caps w:val="false"/>
                <w:smallCaps w:val="false"/>
                <w:color w:themeColor="text1" w:val="000000"/>
                <w:kern w:val="0"/>
                <w:sz w:val="22"/>
                <w:szCs w:val="22"/>
                <w:lang w:val="en-GB" w:eastAsia="en-US" w:bidi="ar-SA"/>
              </w:rPr>
              <w:t>4</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Incidents are to be reported on the as soon as possible ensuring the duty manager/health and safety officer have been informed.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b w:val="false"/>
                <w:bCs w:val="false"/>
                <w:i w:val="false"/>
                <w:iCs w:val="false"/>
                <w:caps w:val="false"/>
                <w:smallCaps w:val="false"/>
                <w:color w:themeColor="text1" w:val="000000"/>
                <w:kern w:val="0"/>
                <w:sz w:val="22"/>
                <w:szCs w:val="22"/>
                <w:lang w:val="en-GB" w:eastAsia="en-US" w:bidi="ar-SA"/>
              </w:rPr>
              <w:t xml:space="preserve">Follow </w:t>
            </w:r>
            <w:hyperlink r:id="rId7">
              <w:r>
                <w:rPr>
                  <w:rStyle w:val="Hyperlink"/>
                  <w:rFonts w:eastAsia="Calibri" w:cs="Calibri"/>
                  <w:b w:val="false"/>
                  <w:bCs w:val="false"/>
                  <w:i w:val="false"/>
                  <w:iCs w:val="false"/>
                  <w:caps w:val="false"/>
                  <w:smallCaps w:val="false"/>
                  <w:strike w:val="false"/>
                  <w:dstrike w:val="false"/>
                  <w:color w:val="0000FF"/>
                  <w:kern w:val="0"/>
                  <w:sz w:val="22"/>
                  <w:szCs w:val="22"/>
                  <w:u w:val="single"/>
                  <w:lang w:val="en-GB" w:eastAsia="en-US" w:bidi="ar-SA"/>
                </w:rPr>
                <w:t>SUSU incident report policy.</w:t>
              </w:r>
            </w:hyperlink>
          </w:p>
        </w:tc>
      </w:tr>
    </w:tbl>
    <w:p>
      <w:pPr>
        <w:pStyle w:val="Normal"/>
        <w:rPr/>
      </w:pPr>
      <w:r>
        <w:rPr/>
      </w:r>
    </w:p>
    <w:p>
      <w:pPr>
        <w:pStyle w:val="Normal"/>
        <w:rPr/>
      </w:pPr>
      <w:r>
        <w:rPr/>
      </w:r>
    </w:p>
    <w:tbl>
      <w:tblPr>
        <w:tblW w:w="1538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669"/>
        <w:gridCol w:w="4818"/>
        <w:gridCol w:w="1590"/>
        <w:gridCol w:w="345"/>
        <w:gridCol w:w="875"/>
        <w:gridCol w:w="1245"/>
        <w:gridCol w:w="4075"/>
        <w:gridCol w:w="1772"/>
      </w:tblGrid>
      <w:tr>
        <w:trPr>
          <w:trHeight w:val="425" w:hRule="atLeast"/>
          <w:cantSplit/>
        </w:trPr>
        <w:tc>
          <w:tcPr>
            <w:tcW w:w="15389" w:type="dxa"/>
            <w:gridSpan w:val="8"/>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numPr>
                <w:ilvl w:val="0"/>
                <w:numId w:val="0"/>
              </w:numPr>
              <w:spacing w:lineRule="auto" w:line="240" w:before="0" w:after="0"/>
              <w:outlineLvl w:val="0"/>
              <w:rPr>
                <w:rFonts w:ascii="Lucida Sans" w:hAnsi="Lucida Sans" w:eastAsia="Times New Roman" w:cs="Arial"/>
                <w:b/>
                <w:bCs/>
                <w:color w:val="000000"/>
                <w:sz w:val="40"/>
                <w:szCs w:val="20"/>
              </w:rPr>
            </w:pPr>
            <w:r>
              <w:rPr>
                <w:rFonts w:eastAsia="Calibri" w:cs="Calibri" w:ascii="Lucida Sans" w:hAnsi="Lucida Sans" w:cstheme="minorHAnsi"/>
                <w:b/>
                <w:bCs/>
                <w:i/>
                <w:sz w:val="24"/>
                <w:szCs w:val="24"/>
              </w:rPr>
              <w:t>PART B – Action Plan</w:t>
            </w:r>
          </w:p>
        </w:tc>
      </w:tr>
      <w:tr>
        <w:trPr>
          <w:cantSplit/>
        </w:trPr>
        <w:tc>
          <w:tcPr>
            <w:tcW w:w="15389" w:type="dxa"/>
            <w:gridSpan w:val="8"/>
            <w:tcBorders>
              <w:bottom w:val="single" w:sz="4" w:space="0" w:color="000000"/>
            </w:tcBorders>
          </w:tcPr>
          <w:p>
            <w:pPr>
              <w:pStyle w:val="Normal"/>
              <w:numPr>
                <w:ilvl w:val="0"/>
                <w:numId w:val="0"/>
              </w:numPr>
              <w:spacing w:lineRule="auto" w:line="240" w:before="0" w:after="0"/>
              <w:jc w:val="center"/>
              <w:outlineLvl w:val="0"/>
              <w:rPr>
                <w:rFonts w:ascii="Lucida Sans" w:hAnsi="Lucida Sans" w:eastAsia="Times New Roman" w:cs="Arial"/>
                <w:b/>
                <w:bCs/>
                <w:color w:val="000000"/>
                <w:sz w:val="40"/>
                <w:szCs w:val="20"/>
              </w:rPr>
            </w:pPr>
            <w:r>
              <w:rPr>
                <w:rFonts w:eastAsia="Times New Roman" w:cs="Arial" w:ascii="Lucida Sans" w:hAnsi="Lucida Sans"/>
                <w:b/>
                <w:bCs/>
                <w:color w:val="000000"/>
                <w:sz w:val="40"/>
                <w:szCs w:val="20"/>
              </w:rPr>
              <w:t>Risk Assessment Action Plan</w:t>
            </w:r>
          </w:p>
        </w:tc>
      </w:tr>
      <w:tr>
        <w:trPr/>
        <w:tc>
          <w:tcPr>
            <w:tcW w:w="669"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Part no.</w:t>
            </w:r>
          </w:p>
        </w:tc>
        <w:tc>
          <w:tcPr>
            <w:tcW w:w="4818"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Action to be taken, incl. Cost</w:t>
            </w:r>
          </w:p>
        </w:tc>
        <w:tc>
          <w:tcPr>
            <w:tcW w:w="1590"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By whom</w:t>
            </w:r>
          </w:p>
        </w:tc>
        <w:tc>
          <w:tcPr>
            <w:tcW w:w="1220" w:type="dxa"/>
            <w:gridSpan w:val="2"/>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Target date</w:t>
            </w:r>
          </w:p>
        </w:tc>
        <w:tc>
          <w:tcPr>
            <w:tcW w:w="1245" w:type="dxa"/>
            <w:tcBorders>
              <w:top w:val="single" w:sz="4" w:space="0" w:color="000000"/>
              <w:start w:val="single" w:sz="4" w:space="0" w:color="000000"/>
              <w:bottom w:val="single" w:sz="4" w:space="0" w:color="000000"/>
              <w:end w:val="single" w:sz="18"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Review date</w:t>
            </w:r>
          </w:p>
        </w:tc>
        <w:tc>
          <w:tcPr>
            <w:tcW w:w="5847" w:type="dxa"/>
            <w:gridSpan w:val="2"/>
            <w:tcBorders>
              <w:top w:val="single" w:sz="4" w:space="0" w:color="000000"/>
              <w:start w:val="single" w:sz="18"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Outcome at review date</w:t>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1</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t>Organisers to ensure they have read the Expect Respect policy, and shared with members</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cstheme="minorAscii" w:eastAsiaTheme="minorAscii"/>
                <w:color w:themeColor="text1" w:val="000000"/>
              </w:rPr>
              <w:t>All committee</w:t>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2</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t>All major incidents will be logged with SUSU the next day by President / Welfare Officer</w:t>
            </w:r>
          </w:p>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cstheme="minorAscii" w:eastAsiaTheme="minorAscii"/>
                <w:color w:themeColor="text1" w:val="000000"/>
              </w:rPr>
              <w:t>Millie Carter / Joseph Robbins</w:t>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3</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cstheme="minorAscii" w:eastAsiaTheme="minorAscii"/>
              </w:rPr>
              <w:t>Possible attendees will be asked to indicate intention to attend on a sign-up sheet to gauge numbers and book an appropriate room on campus</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cstheme="minorAscii" w:eastAsiaTheme="minorAscii"/>
                <w:color w:themeColor="text1" w:val="000000"/>
              </w:rPr>
              <w:t>Various committee</w:t>
            </w:r>
          </w:p>
          <w:p>
            <w:pPr>
              <w:pStyle w:val="Normal"/>
              <w:spacing w:lineRule="auto" w:line="240" w:before="0" w:after="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cstheme="minorAscii" w:eastAsiaTheme="minorAscii"/>
                <w:color w:themeColor="text1" w:val="000000"/>
              </w:rPr>
              <w:t>Bunfight</w:t>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4</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5</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rPr>
            </w:pPr>
            <w:r>
              <w:rPr>
                <w:rFonts w:eastAsia="Calibri" w:cs="Calibri" w:cstheme="minorAscii" w:eastAsiaTheme="minorAscii"/>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6</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themeColor="text1" w:val="000000"/>
              </w:rPr>
              <w:t>7</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FF0000"/>
              </w:rPr>
            </w:pPr>
            <w:r>
              <w:rPr>
                <w:rFonts w:eastAsia="Calibri" w:cs="Calibri" w:cstheme="minorAscii" w:eastAsiaTheme="minorAscii"/>
                <w:color w:val="FF0000"/>
              </w:rPr>
            </w:r>
          </w:p>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color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300"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jc w:val="center"/>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t>8</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FF0000"/>
              </w:rPr>
            </w:pPr>
            <w:r>
              <w:rPr>
                <w:rFonts w:eastAsia="Calibri" w:cs="Calibri" w:cstheme="minorAscii" w:eastAsiaTheme="minorAscii"/>
                <w:color w:val="FF0000"/>
              </w:rPr>
            </w:r>
          </w:p>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20"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color w:themeColor="text1" w:val="000000"/>
              </w:rPr>
            </w:r>
          </w:p>
        </w:tc>
        <w:tc>
          <w:tcPr>
            <w:tcW w:w="1245" w:type="dxa"/>
            <w:tcBorders>
              <w:top w:val="single" w:sz="4" w:space="0" w:color="000000"/>
              <w:start w:val="single" w:sz="4" w:space="0" w:color="000000"/>
              <w:bottom w:val="single" w:sz="4" w:space="0" w:color="000000"/>
              <w:end w:val="single" w:sz="18" w:space="0" w:color="000000"/>
            </w:tcBorders>
          </w:tcPr>
          <w:p>
            <w:pPr>
              <w:pStyle w:val="Normal"/>
              <w:spacing w:lineRule="auto" w:line="240" w:before="0" w:after="200"/>
              <w:rPr>
                <w:rFonts w:ascii="Lucida Sans" w:hAnsi="Lucida Sans" w:eastAsia="Times New Roman" w:cs="Arial"/>
                <w:color w:themeColor="text1" w:val="000000"/>
              </w:rPr>
            </w:pPr>
            <w:r>
              <w:rPr>
                <w:rFonts w:eastAsia="Times New Roman" w:cs="Arial" w:ascii="Lucida Sans" w:hAnsi="Lucida Sans"/>
                <w:color w:themeColor="text1" w:val="00000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spacing w:lineRule="auto" w:line="240" w:before="0" w:after="200"/>
              <w:rPr>
                <w:rFonts w:ascii="Lucida Sans" w:hAnsi="Lucida Sans" w:eastAsia="Times New Roman" w:cs="Arial"/>
                <w:color w:themeColor="text1" w:val="000000"/>
              </w:rPr>
            </w:pPr>
            <w:r>
              <w:rPr>
                <w:rFonts w:eastAsia="Times New Roman" w:cs="Arial" w:ascii="Lucida Sans" w:hAnsi="Lucida Sans"/>
                <w:color w:themeColor="text1" w:val="000000"/>
              </w:rPr>
            </w:r>
          </w:p>
        </w:tc>
      </w:tr>
      <w:tr>
        <w:trPr>
          <w:cantSplit/>
        </w:trPr>
        <w:tc>
          <w:tcPr>
            <w:tcW w:w="8297" w:type="dxa"/>
            <w:gridSpan w:val="5"/>
            <w:tcBorders>
              <w:top w:val="single" w:sz="4" w:space="0" w:color="000000"/>
              <w:start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themeColor="text1" w:val="000000"/>
              </w:rPr>
            </w:pPr>
            <w:r>
              <w:rPr>
                <w:rFonts w:eastAsia="Verdana" w:cs="Verdana" w:ascii="Verdana" w:hAnsi="Verdana"/>
                <w:color w:themeColor="text1" w:val="000000"/>
              </w:rPr>
              <w:t>Responsible committee member signatures:                Date: 07/08/26</w:t>
            </w:r>
          </w:p>
          <w:p>
            <w:pPr>
              <w:pStyle w:val="Normal"/>
              <w:numPr>
                <w:ilvl w:val="0"/>
                <w:numId w:val="0"/>
              </w:numPr>
              <w:spacing w:lineRule="auto" w:line="240" w:before="0" w:after="0"/>
              <w:outlineLvl w:val="0"/>
              <w:rPr>
                <w:rFonts w:ascii="Verdana" w:hAnsi="Verdana" w:eastAsia="Verdana" w:cs="Verdana"/>
                <w:color w:val="FF0000"/>
                <w:sz w:val="22"/>
                <w:szCs w:val="22"/>
                <w:lang w:eastAsia="en-US" w:bidi="ar-SA"/>
              </w:rPr>
            </w:pPr>
            <w:r>
              <w:rPr>
                <w:rFonts w:eastAsia="Verdana" w:cs="Verdana" w:ascii="Verdana" w:hAnsi="Verdana"/>
                <w:color w:val="FF0000"/>
                <w:sz w:val="22"/>
                <w:szCs w:val="22"/>
                <w:lang w:eastAsia="en-US" w:bidi="ar-SA"/>
              </w:rPr>
              <w:drawing>
                <wp:anchor distT="0" distB="0" distL="0" distR="0" simplePos="0" relativeHeight="8" behindDoc="0" locked="0" layoutInCell="1" allowOverlap="1">
                  <wp:simplePos x="0" y="0"/>
                  <wp:positionH relativeFrom="column">
                    <wp:posOffset>38100</wp:posOffset>
                  </wp:positionH>
                  <wp:positionV relativeFrom="paragraph">
                    <wp:posOffset>40005</wp:posOffset>
                  </wp:positionV>
                  <wp:extent cx="2333625" cy="62420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8"/>
                          <a:stretch>
                            <a:fillRect/>
                          </a:stretch>
                        </pic:blipFill>
                        <pic:spPr bwMode="auto">
                          <a:xfrm>
                            <a:off x="0" y="0"/>
                            <a:ext cx="2333625" cy="624205"/>
                          </a:xfrm>
                          <a:prstGeom prst="rect">
                            <a:avLst/>
                          </a:prstGeom>
                          <a:noFill/>
                        </pic:spPr>
                      </pic:pic>
                    </a:graphicData>
                  </a:graphic>
                </wp:anchor>
              </w:drawing>
              <mc:AlternateContent>
                <mc:Choice Requires="wpg">
                  <w:drawing>
                    <wp:inline distT="0" distB="0" distL="0" distR="0">
                      <wp:extent cx="2150110" cy="431800"/>
                      <wp:effectExtent l="0" t="0" r="0" b="0"/>
                      <wp:docPr id="3" name="Shape1"/>
                      <a:graphic xmlns:a="http://schemas.openxmlformats.org/drawingml/2006/main">
                        <a:graphicData uri="http://schemas.microsoft.com/office/word/2010/wordprocessingGroup">
                          <wpg:wgp>
                            <wpg:cNvGrpSpPr/>
                            <wpg:grpSpPr>
                              <a:xfrm>
                                <a:off x="0" y="0"/>
                                <a:ext cx="2150280" cy="431640"/>
                                <a:chOff x="0" y="0"/>
                                <a:chExt cx="2150280" cy="431640"/>
                              </a:xfrm>
                            </wpg:grpSpPr>
                            <wps:wsp>
                              <wps:cNvPr id="4" name="Shape 3"/>
                              <wps:cNvSpPr/>
                              <wps:spPr>
                                <a:xfrm>
                                  <a:off x="0" y="6840"/>
                                  <a:ext cx="201240" cy="353520"/>
                                </a:xfrm>
                                <a:custGeom>
                                  <a:avLst/>
                                  <a:gdLst>
                                    <a:gd name="textAreaLeft" fmla="*/ 0 w 114120"/>
                                    <a:gd name="textAreaRight" fmla="*/ 114840 w 114120"/>
                                    <a:gd name="textAreaTop" fmla="*/ 0 h 200520"/>
                                    <a:gd name="textAreaBottom" fmla="*/ 201240 h 200520"/>
                                  </a:gdLst>
                                  <a:ahLst/>
                                  <a:cxnLst/>
                                  <a:rect l="textAreaLeft" t="textAreaTop" r="textAreaRight" b="textAreaBottom"/>
                                  <a:pathLst>
                                    <a:path w="12350" h="27703">
                                      <a:moveTo>
                                        <a:pt x="4872" y="0"/>
                                      </a:moveTo>
                                      <a:cubicBezTo>
                                        <a:pt x="9081" y="7015"/>
                                        <a:pt x="13759" y="15614"/>
                                        <a:pt x="11775" y="23550"/>
                                      </a:cubicBezTo>
                                      <a:cubicBezTo>
                                        <a:pt x="10787" y="27500"/>
                                        <a:pt x="3642" y="28619"/>
                                        <a:pt x="0" y="26798"/>
                                      </a:cubicBezTo>
                                    </a:path>
                                  </a:pathLst>
                                </a:custGeom>
                                <a:noFill/>
                                <a:ln w="9525">
                                  <a:solidFill>
                                    <a:srgbClr val="000000"/>
                                  </a:solidFill>
                                  <a:round/>
                                </a:ln>
                              </wps:spPr>
                              <wps:style>
                                <a:lnRef idx="0"/>
                                <a:fillRef idx="0"/>
                                <a:effectRef idx="0"/>
                                <a:fontRef idx="minor"/>
                              </wps:style>
                              <wps:bodyPr/>
                            </wps:wsp>
                            <wps:wsp>
                              <wps:cNvPr id="5" name="Shape 4"/>
                              <wps:cNvSpPr/>
                              <wps:spPr>
                                <a:xfrm>
                                  <a:off x="300240" y="0"/>
                                  <a:ext cx="311040" cy="369720"/>
                                </a:xfrm>
                                <a:custGeom>
                                  <a:avLst/>
                                  <a:gdLst>
                                    <a:gd name="textAreaLeft" fmla="*/ 0 w 176400"/>
                                    <a:gd name="textAreaRight" fmla="*/ 177120 w 176400"/>
                                    <a:gd name="textAreaTop" fmla="*/ 0 h 209520"/>
                                    <a:gd name="textAreaBottom" fmla="*/ 210240 h 209520"/>
                                  </a:gdLst>
                                  <a:ahLst/>
                                  <a:cxnLst/>
                                  <a:rect l="textAreaLeft" t="textAreaTop" r="textAreaRight" b="textAreaBottom"/>
                                  <a:pathLst>
                                    <a:path w="19083" h="29000">
                                      <a:moveTo>
                                        <a:pt x="0" y="1391"/>
                                      </a:moveTo>
                                      <a:cubicBezTo>
                                        <a:pt x="983" y="7290"/>
                                        <a:pt x="1403" y="13281"/>
                                        <a:pt x="1624" y="19257"/>
                                      </a:cubicBezTo>
                                      <a:cubicBezTo>
                                        <a:pt x="1724" y="21962"/>
                                        <a:pt x="4331" y="27377"/>
                                        <a:pt x="1624" y="27377"/>
                                      </a:cubicBezTo>
                                      <a:cubicBezTo>
                                        <a:pt x="129" y="27377"/>
                                        <a:pt x="1218" y="24406"/>
                                        <a:pt x="1218" y="22911"/>
                                      </a:cubicBezTo>
                                      <a:cubicBezTo>
                                        <a:pt x="1218" y="14734"/>
                                        <a:pt x="4055" y="-3078"/>
                                        <a:pt x="11369" y="579"/>
                                      </a:cubicBezTo>
                                      <a:cubicBezTo>
                                        <a:pt x="14156" y="1972"/>
                                        <a:pt x="13166" y="7715"/>
                                        <a:pt x="10963" y="9918"/>
                                      </a:cubicBezTo>
                                      <a:cubicBezTo>
                                        <a:pt x="9037" y="11844"/>
                                        <a:pt x="2793" y="10988"/>
                                        <a:pt x="3654" y="13572"/>
                                      </a:cubicBezTo>
                                      <a:cubicBezTo>
                                        <a:pt x="5954" y="20472"/>
                                        <a:pt x="19083" y="21728"/>
                                        <a:pt x="19083" y="29001"/>
                                      </a:cubicBezTo>
                                    </a:path>
                                  </a:pathLst>
                                </a:custGeom>
                                <a:noFill/>
                                <a:ln w="9525">
                                  <a:solidFill>
                                    <a:srgbClr val="000000"/>
                                  </a:solidFill>
                                  <a:round/>
                                </a:ln>
                              </wps:spPr>
                              <wps:style>
                                <a:lnRef idx="0"/>
                                <a:fillRef idx="0"/>
                                <a:effectRef idx="0"/>
                                <a:fontRef idx="minor"/>
                              </wps:style>
                              <wps:bodyPr/>
                            </wps:wsp>
                            <wps:wsp>
                              <wps:cNvPr id="6" name="Shape 5"/>
                              <wps:cNvSpPr/>
                              <wps:spPr>
                                <a:xfrm>
                                  <a:off x="673200" y="165240"/>
                                  <a:ext cx="204480" cy="159480"/>
                                </a:xfrm>
                                <a:custGeom>
                                  <a:avLst/>
                                  <a:gdLst>
                                    <a:gd name="textAreaLeft" fmla="*/ 0 w 115920"/>
                                    <a:gd name="textAreaRight" fmla="*/ 116640 w 115920"/>
                                    <a:gd name="textAreaTop" fmla="*/ 0 h 90360"/>
                                    <a:gd name="textAreaBottom" fmla="*/ 91080 h 90360"/>
                                  </a:gdLst>
                                  <a:ahLst/>
                                  <a:cxnLst/>
                                  <a:rect l="textAreaLeft" t="textAreaTop" r="textAreaRight" b="textAreaBottom"/>
                                  <a:pathLst>
                                    <a:path w="12534" h="12541">
                                      <a:moveTo>
                                        <a:pt x="12535" y="247"/>
                                      </a:moveTo>
                                      <a:cubicBezTo>
                                        <a:pt x="8841" y="247"/>
                                        <a:pt x="4184" y="-741"/>
                                        <a:pt x="1572" y="1871"/>
                                      </a:cubicBezTo>
                                      <a:cubicBezTo>
                                        <a:pt x="-727" y="4170"/>
                                        <a:pt x="-321" y="9317"/>
                                        <a:pt x="1978" y="11616"/>
                                      </a:cubicBezTo>
                                      <a:cubicBezTo>
                                        <a:pt x="4592" y="14230"/>
                                        <a:pt x="11232" y="10736"/>
                                        <a:pt x="12129" y="7150"/>
                                      </a:cubicBezTo>
                                      <a:cubicBezTo>
                                        <a:pt x="12779" y="4550"/>
                                        <a:pt x="8841" y="266"/>
                                        <a:pt x="6444" y="1465"/>
                                      </a:cubicBezTo>
                                    </a:path>
                                  </a:pathLst>
                                </a:custGeom>
                                <a:noFill/>
                                <a:ln w="9525">
                                  <a:solidFill>
                                    <a:srgbClr val="000000"/>
                                  </a:solidFill>
                                  <a:round/>
                                </a:ln>
                              </wps:spPr>
                              <wps:style>
                                <a:lnRef idx="0"/>
                                <a:fillRef idx="0"/>
                                <a:effectRef idx="0"/>
                                <a:fontRef idx="minor"/>
                              </wps:style>
                              <wps:bodyPr/>
                            </wps:wsp>
                            <wps:wsp>
                              <wps:cNvPr id="7" name="Shape 6"/>
                              <wps:cNvSpPr/>
                              <wps:spPr>
                                <a:xfrm>
                                  <a:off x="886320" y="6840"/>
                                  <a:ext cx="240840" cy="290160"/>
                                </a:xfrm>
                                <a:custGeom>
                                  <a:avLst/>
                                  <a:gdLst>
                                    <a:gd name="textAreaLeft" fmla="*/ 0 w 136440"/>
                                    <a:gd name="textAreaRight" fmla="*/ 137160 w 136440"/>
                                    <a:gd name="textAreaTop" fmla="*/ 0 h 164520"/>
                                    <a:gd name="textAreaBottom" fmla="*/ 165240 h 164520"/>
                                  </a:gdLst>
                                  <a:ahLst/>
                                  <a:cxnLst/>
                                  <a:rect l="textAreaLeft" t="textAreaTop" r="textAreaRight" b="textAreaBottom"/>
                                  <a:pathLst>
                                    <a:path w="14707" h="22738">
                                      <a:moveTo>
                                        <a:pt x="2393" y="0"/>
                                      </a:moveTo>
                                      <a:cubicBezTo>
                                        <a:pt x="2393" y="6666"/>
                                        <a:pt x="-944" y="13359"/>
                                        <a:pt x="363" y="19896"/>
                                      </a:cubicBezTo>
                                      <a:cubicBezTo>
                                        <a:pt x="551" y="20834"/>
                                        <a:pt x="1726" y="22738"/>
                                        <a:pt x="769" y="22738"/>
                                      </a:cubicBezTo>
                                      <a:cubicBezTo>
                                        <a:pt x="-878" y="22738"/>
                                        <a:pt x="845" y="19338"/>
                                        <a:pt x="1581" y="17865"/>
                                      </a:cubicBezTo>
                                      <a:cubicBezTo>
                                        <a:pt x="3532" y="13961"/>
                                        <a:pt x="13515" y="15256"/>
                                        <a:pt x="14574" y="19490"/>
                                      </a:cubicBezTo>
                                      <a:cubicBezTo>
                                        <a:pt x="15643" y="23765"/>
                                        <a:pt x="5987" y="21926"/>
                                        <a:pt x="1581" y="21926"/>
                                      </a:cubicBezTo>
                                    </a:path>
                                  </a:pathLst>
                                </a:custGeom>
                                <a:noFill/>
                                <a:ln w="9525">
                                  <a:solidFill>
                                    <a:srgbClr val="000000"/>
                                  </a:solidFill>
                                  <a:round/>
                                </a:ln>
                              </wps:spPr>
                              <wps:style>
                                <a:lnRef idx="0"/>
                                <a:fillRef idx="0"/>
                                <a:effectRef idx="0"/>
                                <a:fontRef idx="minor"/>
                              </wps:style>
                              <wps:bodyPr/>
                            </wps:wsp>
                            <wps:wsp>
                              <wps:cNvPr id="8" name="Shape 7"/>
                              <wps:cNvSpPr/>
                              <wps:spPr>
                                <a:xfrm>
                                  <a:off x="1154520" y="12240"/>
                                  <a:ext cx="213480" cy="332640"/>
                                </a:xfrm>
                                <a:custGeom>
                                  <a:avLst/>
                                  <a:gdLst>
                                    <a:gd name="textAreaLeft" fmla="*/ 0 w 120960"/>
                                    <a:gd name="textAreaRight" fmla="*/ 121680 w 120960"/>
                                    <a:gd name="textAreaTop" fmla="*/ 0 h 188640"/>
                                    <a:gd name="textAreaBottom" fmla="*/ 189360 h 188640"/>
                                  </a:gdLst>
                                  <a:ahLst/>
                                  <a:cxnLst/>
                                  <a:rect l="textAreaLeft" t="textAreaTop" r="textAreaRight" b="textAreaBottom"/>
                                  <a:pathLst>
                                    <a:path w="13098" h="26072">
                                      <a:moveTo>
                                        <a:pt x="2330" y="0"/>
                                      </a:moveTo>
                                      <a:cubicBezTo>
                                        <a:pt x="1705" y="5420"/>
                                        <a:pt x="300" y="10785"/>
                                        <a:pt x="300" y="16241"/>
                                      </a:cubicBezTo>
                                      <a:cubicBezTo>
                                        <a:pt x="300" y="18271"/>
                                        <a:pt x="300" y="20302"/>
                                        <a:pt x="300" y="22332"/>
                                      </a:cubicBezTo>
                                      <a:cubicBezTo>
                                        <a:pt x="300" y="23279"/>
                                        <a:pt x="0" y="26073"/>
                                        <a:pt x="300" y="25174"/>
                                      </a:cubicBezTo>
                                      <a:cubicBezTo>
                                        <a:pt x="1383" y="21926"/>
                                        <a:pt x="237" y="16300"/>
                                        <a:pt x="3548" y="15429"/>
                                      </a:cubicBezTo>
                                      <a:cubicBezTo>
                                        <a:pt x="6431" y="14671"/>
                                        <a:pt x="10373" y="13727"/>
                                        <a:pt x="12481" y="15835"/>
                                      </a:cubicBezTo>
                                      <a:cubicBezTo>
                                        <a:pt x="15641" y="18995"/>
                                        <a:pt x="5515" y="25548"/>
                                        <a:pt x="1518" y="23550"/>
                                      </a:cubicBezTo>
                                    </a:path>
                                  </a:pathLst>
                                </a:custGeom>
                                <a:noFill/>
                                <a:ln w="9525">
                                  <a:solidFill>
                                    <a:srgbClr val="000000"/>
                                  </a:solidFill>
                                  <a:round/>
                                </a:ln>
                              </wps:spPr>
                              <wps:style>
                                <a:lnRef idx="0"/>
                                <a:fillRef idx="0"/>
                                <a:effectRef idx="0"/>
                                <a:fontRef idx="minor"/>
                              </wps:style>
                              <wps:bodyPr/>
                            </wps:wsp>
                            <wps:wsp>
                              <wps:cNvPr id="9" name="Shape 8"/>
                              <wps:cNvSpPr/>
                              <wps:spPr>
                                <a:xfrm>
                                  <a:off x="1438920" y="172800"/>
                                  <a:ext cx="7560" cy="186840"/>
                                </a:xfrm>
                                <a:custGeom>
                                  <a:avLst/>
                                  <a:gdLst>
                                    <a:gd name="textAreaLeft" fmla="*/ 0 w 4320"/>
                                    <a:gd name="textAreaRight" fmla="*/ 5040 w 4320"/>
                                    <a:gd name="textAreaTop" fmla="*/ 0 h 105840"/>
                                    <a:gd name="textAreaBottom" fmla="*/ 106560 h 105840"/>
                                  </a:gdLst>
                                  <a:ahLst/>
                                  <a:cxnLst/>
                                  <a:rect l="textAreaLeft" t="textAreaTop" r="textAreaRight" b="textAreaBottom"/>
                                  <a:pathLst>
                                    <a:path w="504" h="14617">
                                      <a:moveTo>
                                        <a:pt x="0" y="0"/>
                                      </a:moveTo>
                                      <a:cubicBezTo>
                                        <a:pt x="801" y="4808"/>
                                        <a:pt x="406" y="9743"/>
                                        <a:pt x="406" y="14617"/>
                                      </a:cubicBezTo>
                                    </a:path>
                                  </a:pathLst>
                                </a:custGeom>
                                <a:noFill/>
                                <a:ln w="9525">
                                  <a:solidFill>
                                    <a:srgbClr val="000000"/>
                                  </a:solidFill>
                                  <a:round/>
                                </a:ln>
                              </wps:spPr>
                              <wps:style>
                                <a:lnRef idx="0"/>
                                <a:fillRef idx="0"/>
                                <a:effectRef idx="0"/>
                                <a:fontRef idx="minor"/>
                              </wps:style>
                              <wps:bodyPr/>
                            </wps:wsp>
                            <wps:wsp>
                              <wps:cNvPr id="10" name="Shape 9"/>
                              <wps:cNvSpPr/>
                              <wps:spPr>
                                <a:xfrm>
                                  <a:off x="1412280" y="90000"/>
                                  <a:ext cx="45000" cy="19800"/>
                                </a:xfrm>
                                <a:custGeom>
                                  <a:avLst/>
                                  <a:gdLst>
                                    <a:gd name="textAreaLeft" fmla="*/ 0 w 25560"/>
                                    <a:gd name="textAreaRight" fmla="*/ 26280 w 25560"/>
                                    <a:gd name="textAreaTop" fmla="*/ 0 h 11160"/>
                                    <a:gd name="textAreaBottom" fmla="*/ 11880 h 11160"/>
                                  </a:gdLst>
                                  <a:ahLst/>
                                  <a:cxnLst/>
                                  <a:rect l="textAreaLeft" t="textAreaTop" r="textAreaRight" b="textAreaBottom"/>
                                  <a:pathLst>
                                    <a:path w="2842" h="1624">
                                      <a:moveTo>
                                        <a:pt x="0" y="0"/>
                                      </a:moveTo>
                                      <a:cubicBezTo>
                                        <a:pt x="908" y="605"/>
                                        <a:pt x="1751" y="1624"/>
                                        <a:pt x="2842" y="1624"/>
                                      </a:cubicBezTo>
                                    </a:path>
                                  </a:pathLst>
                                </a:custGeom>
                                <a:noFill/>
                                <a:ln w="9525">
                                  <a:solidFill>
                                    <a:srgbClr val="000000"/>
                                  </a:solidFill>
                                  <a:round/>
                                </a:ln>
                              </wps:spPr>
                              <wps:style>
                                <a:lnRef idx="0"/>
                                <a:fillRef idx="0"/>
                                <a:effectRef idx="0"/>
                                <a:fontRef idx="minor"/>
                              </wps:style>
                              <wps:bodyPr/>
                            </wps:wsp>
                            <wps:wsp>
                              <wps:cNvPr id="11" name="Shape 10"/>
                              <wps:cNvSpPr/>
                              <wps:spPr>
                                <a:xfrm>
                                  <a:off x="240120" y="318600"/>
                                  <a:ext cx="45000" cy="40680"/>
                                </a:xfrm>
                                <a:custGeom>
                                  <a:avLst/>
                                  <a:gdLst>
                                    <a:gd name="textAreaLeft" fmla="*/ 0 w 25560"/>
                                    <a:gd name="textAreaRight" fmla="*/ 26280 w 25560"/>
                                    <a:gd name="textAreaTop" fmla="*/ 0 h 23040"/>
                                    <a:gd name="textAreaBottom" fmla="*/ 23760 h 23040"/>
                                  </a:gdLst>
                                  <a:ahLst/>
                                  <a:cxnLst/>
                                  <a:rect l="textAreaLeft" t="textAreaTop" r="textAreaRight" b="textAreaBottom"/>
                                  <a:pathLst>
                                    <a:path w="2843" h="3248">
                                      <a:moveTo>
                                        <a:pt x="0" y="0"/>
                                      </a:moveTo>
                                      <a:cubicBezTo>
                                        <a:pt x="1017" y="1017"/>
                                        <a:pt x="1556" y="2605"/>
                                        <a:pt x="2843" y="3248"/>
                                      </a:cubicBezTo>
                                    </a:path>
                                  </a:pathLst>
                                </a:custGeom>
                                <a:noFill/>
                                <a:ln w="9525">
                                  <a:solidFill>
                                    <a:srgbClr val="000000"/>
                                  </a:solidFill>
                                  <a:round/>
                                </a:ln>
                              </wps:spPr>
                              <wps:style>
                                <a:lnRef idx="0"/>
                                <a:fillRef idx="0"/>
                                <a:effectRef idx="0"/>
                                <a:fontRef idx="minor"/>
                              </wps:style>
                              <wps:bodyPr/>
                            </wps:wsp>
                            <wps:wsp>
                              <wps:cNvPr id="12" name="Shape 11"/>
                              <wps:cNvSpPr/>
                              <wps:spPr>
                                <a:xfrm>
                                  <a:off x="1611000" y="135360"/>
                                  <a:ext cx="258480" cy="296640"/>
                                </a:xfrm>
                                <a:custGeom>
                                  <a:avLst/>
                                  <a:gdLst>
                                    <a:gd name="textAreaLeft" fmla="*/ 0 w 146520"/>
                                    <a:gd name="textAreaRight" fmla="*/ 147240 w 146520"/>
                                    <a:gd name="textAreaTop" fmla="*/ 0 h 168120"/>
                                    <a:gd name="textAreaBottom" fmla="*/ 168840 h 168120"/>
                                  </a:gdLst>
                                  <a:ahLst/>
                                  <a:cxnLst/>
                                  <a:rect l="textAreaLeft" t="textAreaTop" r="textAreaRight" b="textAreaBottom"/>
                                  <a:pathLst>
                                    <a:path w="15806" h="23282">
                                      <a:moveTo>
                                        <a:pt x="2093" y="7040"/>
                                      </a:moveTo>
                                      <a:cubicBezTo>
                                        <a:pt x="2093" y="11515"/>
                                        <a:pt x="1836" y="16000"/>
                                        <a:pt x="1281" y="20440"/>
                                      </a:cubicBezTo>
                                      <a:cubicBezTo>
                                        <a:pt x="1162" y="21390"/>
                                        <a:pt x="1832" y="23282"/>
                                        <a:pt x="875" y="23282"/>
                                      </a:cubicBezTo>
                                      <a:cubicBezTo>
                                        <a:pt x="-885" y="23282"/>
                                        <a:pt x="647" y="19748"/>
                                        <a:pt x="875" y="18003"/>
                                      </a:cubicBezTo>
                                      <a:cubicBezTo>
                                        <a:pt x="1694" y="11720"/>
                                        <a:pt x="1158" y="1381"/>
                                        <a:pt x="7372" y="138"/>
                                      </a:cubicBezTo>
                                      <a:cubicBezTo>
                                        <a:pt x="12892" y="-966"/>
                                        <a:pt x="17605" y="10126"/>
                                        <a:pt x="15087" y="15161"/>
                                      </a:cubicBezTo>
                                    </a:path>
                                  </a:pathLst>
                                </a:custGeom>
                                <a:noFill/>
                                <a:ln w="9525">
                                  <a:solidFill>
                                    <a:srgbClr val="000000"/>
                                  </a:solidFill>
                                  <a:round/>
                                </a:ln>
                              </wps:spPr>
                              <wps:style>
                                <a:lnRef idx="0"/>
                                <a:fillRef idx="0"/>
                                <a:effectRef idx="0"/>
                                <a:fontRef idx="minor"/>
                              </wps:style>
                              <wps:bodyPr/>
                            </wps:wsp>
                            <wps:wsp>
                              <wps:cNvPr id="13" name="Shape 12"/>
                              <wps:cNvSpPr/>
                              <wps:spPr>
                                <a:xfrm>
                                  <a:off x="1917720" y="146160"/>
                                  <a:ext cx="232560" cy="228600"/>
                                </a:xfrm>
                                <a:custGeom>
                                  <a:avLst/>
                                  <a:gdLst>
                                    <a:gd name="textAreaLeft" fmla="*/ 0 w 131760"/>
                                    <a:gd name="textAreaRight" fmla="*/ 132480 w 131760"/>
                                    <a:gd name="textAreaTop" fmla="*/ 0 h 129600"/>
                                    <a:gd name="textAreaBottom" fmla="*/ 130320 h 129600"/>
                                  </a:gdLst>
                                  <a:ahLst/>
                                  <a:cxnLst/>
                                  <a:rect l="textAreaLeft" t="textAreaTop" r="textAreaRight" b="textAreaBottom"/>
                                  <a:pathLst>
                                    <a:path w="14211" h="17944">
                                      <a:moveTo>
                                        <a:pt x="14211" y="907"/>
                                      </a:moveTo>
                                      <a:cubicBezTo>
                                        <a:pt x="10884" y="-424"/>
                                        <a:pt x="4523" y="-539"/>
                                        <a:pt x="3654" y="2937"/>
                                      </a:cubicBezTo>
                                      <a:cubicBezTo>
                                        <a:pt x="2465" y="7695"/>
                                        <a:pt x="12750" y="11543"/>
                                        <a:pt x="10557" y="15930"/>
                                      </a:cubicBezTo>
                                      <a:cubicBezTo>
                                        <a:pt x="8965" y="19115"/>
                                        <a:pt x="3560" y="17554"/>
                                        <a:pt x="0" y="17554"/>
                                      </a:cubicBezTo>
                                    </a:path>
                                  </a:pathLst>
                                </a:custGeom>
                                <a:noFill/>
                                <a:ln w="9525">
                                  <a:solidFill>
                                    <a:srgbClr val="000000"/>
                                  </a:solidFill>
                                  <a:round/>
                                </a:ln>
                              </wps:spPr>
                              <wps:style>
                                <a:lnRef idx="0"/>
                                <a:fillRef idx="0"/>
                                <a:effectRef idx="0"/>
                                <a:fontRef idx="minor"/>
                              </wps:style>
                              <wps:bodyPr/>
                            </wps:wsp>
                          </wpg:wgp>
                        </a:graphicData>
                      </a:graphic>
                    </wp:inline>
                  </w:drawing>
                </mc:Choice>
                <mc:Fallback>
                  <w:pict>
                    <v:group id="shape_0" alt="Shape1" style="position:absolute;margin-left:0pt;margin-top:-34.05pt;width:169.3pt;height:34pt" coordorigin="0,-681" coordsize="3386,680"/>
                  </w:pict>
                </mc:Fallback>
              </mc:AlternateContent>
            </w:r>
          </w:p>
          <w:p>
            <w:pPr>
              <w:pStyle w:val="Normal"/>
              <w:numPr>
                <w:ilvl w:val="0"/>
                <w:numId w:val="0"/>
              </w:numPr>
              <w:spacing w:lineRule="auto" w:line="240" w:before="0" w:after="0"/>
              <w:outlineLvl w:val="0"/>
              <w:rPr/>
            </w:pPr>
            <w:r>
              <w:rPr>
                <w:rFonts w:eastAsia="Verdana" w:cs="Verdana" w:ascii="Verdana" w:hAnsi="Verdana"/>
                <w:color w:themeColor="text1" w:val="000000"/>
                <w:sz w:val="22"/>
                <w:szCs w:val="22"/>
                <w:lang w:eastAsia="en-US" w:bidi="ar-SA"/>
              </w:rPr>
              <w:t xml:space="preserve"> </w:t>
            </w:r>
          </w:p>
          <w:p>
            <w:pPr>
              <w:pStyle w:val="Normal"/>
              <w:numPr>
                <w:ilvl w:val="0"/>
                <w:numId w:val="0"/>
              </w:numPr>
              <w:spacing w:lineRule="auto" w:line="240" w:before="0" w:after="0"/>
              <w:outlineLvl w:val="0"/>
              <w:rPr>
                <w:rFonts w:ascii="Verdana" w:hAnsi="Verdana" w:eastAsia="Verdana" w:cs="Verdana"/>
                <w:color w:val="FF0000"/>
                <w:sz w:val="22"/>
                <w:szCs w:val="22"/>
                <w:lang w:eastAsia="en-US" w:bidi="ar-SA"/>
              </w:rPr>
            </w:pPr>
            <w:r>
              <w:rPr>
                <w:rFonts w:eastAsia="Verdana" w:cs="Verdana" w:ascii="Verdana" w:hAnsi="Verdana"/>
                <w:color w:val="FF0000"/>
                <w:sz w:val="22"/>
                <w:szCs w:val="22"/>
                <w:lang w:eastAsia="en-US" w:bidi="ar-SA"/>
              </w:rPr>
            </w:r>
          </w:p>
        </w:tc>
        <w:tc>
          <w:tcPr>
            <w:tcW w:w="7092" w:type="dxa"/>
            <w:gridSpan w:val="3"/>
            <w:tcBorders>
              <w:top w:val="single" w:sz="4" w:space="0" w:color="000000"/>
              <w:start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Responsible manager’s signature:</w:t>
            </w:r>
          </w:p>
        </w:tc>
      </w:tr>
      <w:tr>
        <w:trPr>
          <w:trHeight w:val="606" w:hRule="atLeast"/>
          <w:cantSplit/>
        </w:trPr>
        <w:tc>
          <w:tcPr>
            <w:tcW w:w="7422" w:type="dxa"/>
            <w:gridSpan w:val="4"/>
            <w:tcBorders>
              <w:start w:val="single" w:sz="4" w:space="0" w:color="000000"/>
              <w:bottom w:val="single" w:sz="4" w:space="0" w:color="000000"/>
            </w:tcBorders>
          </w:tcPr>
          <w:p>
            <w:pPr>
              <w:pStyle w:val="Normal"/>
              <w:numPr>
                <w:ilvl w:val="0"/>
                <w:numId w:val="0"/>
              </w:numPr>
              <w:spacing w:lineRule="auto" w:line="240" w:before="0" w:after="0"/>
              <w:outlineLvl w:val="0"/>
              <w:rPr>
                <w:rFonts w:ascii="Verdana" w:hAnsi="Verdana" w:eastAsia="Verdana" w:cs="Verdana"/>
                <w:color w:themeColor="text1" w:val="000000"/>
              </w:rPr>
            </w:pPr>
            <w:r>
              <w:rPr>
                <w:rFonts w:eastAsia="Verdana" w:cs="Verdana" w:ascii="Verdana" w:hAnsi="Verdana"/>
                <w:color w:themeColor="text1" w:val="000000"/>
              </w:rPr>
              <w:t>Print names:</w:t>
            </w:r>
            <w:r>
              <w:rPr>
                <w:rFonts w:eastAsia="Verdana" w:cs="Verdana" w:ascii="Verdana" w:hAnsi="Verdana"/>
                <w:color w:themeColor="text1" w:val="000000"/>
                <w:sz w:val="22"/>
                <w:szCs w:val="22"/>
                <w:lang w:eastAsia="en-US" w:bidi="ar-SA"/>
              </w:rPr>
              <w:t xml:space="preserve"> Joseph Robbins &amp; </w:t>
            </w:r>
            <w:r>
              <w:rPr>
                <w:rFonts w:eastAsia="Verdana" w:cs="Verdana" w:ascii="Verdana" w:hAnsi="Verdana"/>
                <w:color w:themeColor="text1" w:val="000000"/>
                <w:sz w:val="22"/>
                <w:szCs w:val="22"/>
                <w:lang w:eastAsia="en-US" w:bidi="ar-SA"/>
              </w:rPr>
              <w:t>Millie Carter</w:t>
            </w:r>
          </w:p>
          <w:p>
            <w:pPr>
              <w:pStyle w:val="Normal"/>
              <w:numPr>
                <w:ilvl w:val="0"/>
                <w:numId w:val="0"/>
              </w:numPr>
              <w:spacing w:lineRule="auto" w:line="240" w:before="0" w:after="0"/>
              <w:outlineLvl w:val="0"/>
              <w:rPr>
                <w:rFonts w:ascii="Verdana" w:hAnsi="Verdana" w:eastAsia="Verdana" w:cs="Verdana"/>
                <w:color w:val="000000"/>
                <w:sz w:val="22"/>
                <w:szCs w:val="22"/>
                <w:lang w:eastAsia="en-US" w:bidi="ar-SA"/>
              </w:rPr>
            </w:pPr>
            <w:r>
              <w:rPr>
                <w:rFonts w:eastAsia="Verdana" w:cs="Verdana" w:ascii="Verdana" w:hAnsi="Verdana"/>
                <w:color w:val="000000"/>
                <w:sz w:val="22"/>
                <w:szCs w:val="22"/>
                <w:lang w:eastAsia="en-US" w:bidi="ar-SA"/>
              </w:rPr>
            </w:r>
          </w:p>
        </w:tc>
        <w:tc>
          <w:tcPr>
            <w:tcW w:w="875" w:type="dxa"/>
            <w:tcBorders>
              <w:bottom w:val="single" w:sz="4" w:space="0" w:color="000000"/>
              <w:end w:val="single" w:sz="4" w:space="0" w:color="000000"/>
            </w:tcBorders>
          </w:tcPr>
          <w:p>
            <w:pPr>
              <w:pStyle w:val="Normal"/>
              <w:numPr>
                <w:ilvl w:val="0"/>
                <w:numId w:val="0"/>
              </w:numPr>
              <w:spacing w:lineRule="auto" w:line="240" w:before="0" w:after="0"/>
              <w:ind w:start="-360"/>
              <w:outlineLvl w:val="0"/>
              <w:rPr>
                <w:rFonts w:ascii="Verdana" w:hAnsi="Verdana" w:eastAsia="Verdana" w:cs="Verdana"/>
                <w:color w:themeColor="text1" w:val="000000"/>
                <w:sz w:val="22"/>
                <w:szCs w:val="22"/>
                <w:lang w:eastAsia="en-US" w:bidi="ar-SA"/>
              </w:rPr>
            </w:pPr>
            <w:r>
              <w:rPr>
                <w:rFonts w:eastAsia="Verdana" w:cs="Verdana" w:ascii="Verdana" w:hAnsi="Verdana"/>
                <w:color w:themeColor="text1" w:val="000000"/>
                <w:sz w:val="22"/>
                <w:szCs w:val="22"/>
                <w:lang w:eastAsia="en-US" w:bidi="ar-SA"/>
              </w:rPr>
            </w:r>
          </w:p>
        </w:tc>
        <w:tc>
          <w:tcPr>
            <w:tcW w:w="5320" w:type="dxa"/>
            <w:gridSpan w:val="2"/>
            <w:tcBorders>
              <w:start w:val="single" w:sz="4" w:space="0" w:color="000000"/>
              <w:bottom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Print name:</w:t>
            </w:r>
          </w:p>
        </w:tc>
        <w:tc>
          <w:tcPr>
            <w:tcW w:w="1772" w:type="dxa"/>
            <w:tcBorders>
              <w:bottom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Date:</w:t>
            </w:r>
          </w:p>
        </w:tc>
      </w:tr>
    </w:tbl>
    <w:p>
      <w:pPr>
        <w:pStyle w:val="Normal"/>
        <w:rPr>
          <w:b/>
          <w:bCs/>
          <w:sz w:val="24"/>
          <w:szCs w:val="24"/>
        </w:rPr>
      </w:pPr>
      <w:r>
        <w:rPr>
          <w:b/>
          <w:bCs/>
          <w:sz w:val="24"/>
          <w:szCs w:val="24"/>
        </w:rPr>
        <w:t xml:space="preserve">Assessment Guidance </w:t>
      </w:r>
    </w:p>
    <w:tbl>
      <w:tblPr>
        <w:tblStyle w:val="TableGrid"/>
        <w:tblW w:w="1526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527"/>
        <w:gridCol w:w="3937"/>
        <w:gridCol w:w="3657"/>
        <w:gridCol w:w="5148"/>
      </w:tblGrid>
      <w:tr>
        <w:trPr>
          <w:trHeight w:val="558" w:hRule="atLeast"/>
        </w:trPr>
        <w:tc>
          <w:tcPr>
            <w:tcW w:w="2527" w:type="dxa"/>
            <w:tcBorders/>
          </w:tcPr>
          <w:p>
            <w:pPr>
              <w:pStyle w:val="ListParagraph"/>
              <w:widowControl/>
              <w:numPr>
                <w:ilvl w:val="0"/>
                <w:numId w:val="2"/>
              </w:numPr>
              <w:spacing w:lineRule="auto" w:line="240" w:before="0" w:after="0"/>
              <w:ind w:hanging="313" w:start="313"/>
              <w:contextualSpacing/>
              <w:jc w:val="start"/>
              <w:rPr>
                <w:sz w:val="24"/>
                <w:szCs w:val="24"/>
              </w:rPr>
            </w:pPr>
            <w:r>
              <w:rPr>
                <w:rFonts w:eastAsia="Calibri" w:cs="Times New Roman" w:ascii="Lucida Sans" w:hAnsi="Lucida Sans"/>
                <w:kern w:val="0"/>
                <w:sz w:val="16"/>
                <w:szCs w:val="16"/>
                <w:lang w:val="en-GB" w:eastAsia="en-US" w:bidi="ar-SA"/>
              </w:rPr>
              <w:t>Eliminate</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Remove the hazard wherever possible which negates the need for further controls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If this is not possible then explain why</w:t>
            </w:r>
          </w:p>
        </w:tc>
        <w:tc>
          <w:tcPr>
            <w:tcW w:w="5148" w:type="dxa"/>
            <w:vMerge w:val="restart"/>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drawing>
                <wp:anchor distT="0" distB="0" distL="114300" distR="114300" simplePos="0" relativeHeight="2" behindDoc="0" locked="0" layoutInCell="1" allowOverlap="1" wp14:anchorId="3C5F054F">
                  <wp:simplePos x="0" y="0"/>
                  <wp:positionH relativeFrom="column">
                    <wp:posOffset>222885</wp:posOffset>
                  </wp:positionH>
                  <wp:positionV relativeFrom="paragraph">
                    <wp:posOffset>20955</wp:posOffset>
                  </wp:positionV>
                  <wp:extent cx="2266950" cy="1457325"/>
                  <wp:effectExtent l="0" t="0" r="0" b="0"/>
                  <wp:wrapTight wrapText="bothSides">
                    <wp:wrapPolygon edited="0">
                      <wp:start x="0" y="0"/>
                      <wp:lineTo x="0" y="565"/>
                      <wp:lineTo x="10346" y="21741"/>
                      <wp:lineTo x="11254" y="21741"/>
                      <wp:lineTo x="11435" y="21741"/>
                      <wp:lineTo x="21600" y="565"/>
                      <wp:lineTo x="21600" y="0"/>
                      <wp:lineTo x="0" y="0"/>
                    </wp:wrapPolygon>
                  </wp:wrapTight>
                  <wp:docPr id="14" name="Diagram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tc>
      </w:tr>
      <w:tr>
        <w:trPr>
          <w:trHeight w:val="406"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Substitute</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Replace the hazard with one less hazardous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If not possible then explain why</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317"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Physical controls</w:t>
            </w:r>
          </w:p>
        </w:tc>
        <w:tc>
          <w:tcPr>
            <w:tcW w:w="3937" w:type="dxa"/>
            <w:tcBorders/>
          </w:tcPr>
          <w:p>
            <w:pPr>
              <w:pStyle w:val="Normal"/>
              <w:widowControl/>
              <w:spacing w:lineRule="auto" w:line="240" w:before="0" w:after="0"/>
              <w:jc w:val="start"/>
              <w:rPr>
                <w:rFonts w:ascii="Lucida Sans" w:hAnsi="Lucida Sans" w:eastAsia="Calibri" w:cs="Times New Roman"/>
                <w:sz w:val="16"/>
                <w:szCs w:val="16"/>
              </w:rPr>
            </w:pPr>
            <w:r>
              <w:rPr>
                <w:rFonts w:eastAsia="Calibri" w:cs="Times New Roman" w:ascii="Lucida Sans" w:hAnsi="Lucida Sans"/>
                <w:kern w:val="0"/>
                <w:sz w:val="16"/>
                <w:szCs w:val="16"/>
                <w:lang w:val="en-GB" w:eastAsia="en-US" w:bidi="ar-SA"/>
              </w:rPr>
              <w:t>Examples: enclosure, fume cupboard, glove box</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Likely to still require admin controls as well</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406"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Admin controls</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Examples: training, supervision, signage</w:t>
            </w:r>
          </w:p>
        </w:tc>
        <w:tc>
          <w:tcPr>
            <w:tcW w:w="3657" w:type="dxa"/>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393" w:hRule="atLeast"/>
        </w:trPr>
        <w:tc>
          <w:tcPr>
            <w:tcW w:w="2527" w:type="dxa"/>
            <w:tcBorders/>
          </w:tcPr>
          <w:p>
            <w:pPr>
              <w:pStyle w:val="ListParagraph"/>
              <w:widowControl/>
              <w:numPr>
                <w:ilvl w:val="0"/>
                <w:numId w:val="2"/>
              </w:numPr>
              <w:spacing w:lineRule="auto" w:line="240" w:before="0" w:after="0"/>
              <w:ind w:hanging="284" w:start="313"/>
              <w:contextualSpacing/>
              <w:jc w:val="start"/>
              <w:rPr>
                <w:rFonts w:ascii="Lucida Sans" w:hAnsi="Lucida Sans" w:eastAsia="Calibri" w:cs="Times New Roman"/>
                <w:sz w:val="16"/>
                <w:szCs w:val="16"/>
              </w:rPr>
            </w:pPr>
            <w:r>
              <w:rPr>
                <w:rFonts w:eastAsia="Calibri" w:cs="Times New Roman" w:ascii="Lucida Sans" w:hAnsi="Lucida Sans"/>
                <w:kern w:val="0"/>
                <w:sz w:val="16"/>
                <w:szCs w:val="16"/>
                <w:lang w:val="en-GB" w:eastAsia="en-US" w:bidi="ar-SA"/>
              </w:rPr>
              <w:t>Personal protection</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Examples: respirators, safety specs, gloves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Last resort as it only protects the individual</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bl>
    <w:tbl>
      <w:tblPr>
        <w:tblpPr w:vertAnchor="text" w:horzAnchor="margin" w:leftFromText="180" w:rightFromText="180" w:tblpX="0" w:tblpY="639"/>
        <w:tblOverlap w:val="never"/>
        <w:tblW w:w="38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08"/>
        <w:gridCol w:w="466"/>
        <w:gridCol w:w="579"/>
        <w:gridCol w:w="580"/>
        <w:gridCol w:w="581"/>
        <w:gridCol w:w="580"/>
        <w:gridCol w:w="585"/>
      </w:tblGrid>
      <w:tr>
        <w:trPr>
          <w:trHeight w:val="481" w:hRule="atLeast"/>
          <w:cantSplit/>
        </w:trPr>
        <w:tc>
          <w:tcPr>
            <w:tcW w:w="508" w:type="dxa"/>
            <w:vMerge w:val="restart"/>
            <w:tcBorders/>
            <w:shd w:color="auto" w:fill="FFFFFF" w:themeFill="background1" w:val="clear"/>
            <w:textDirection w:val="btLr"/>
          </w:tcPr>
          <w:p>
            <w:pPr>
              <w:pStyle w:val="Normal"/>
              <w:spacing w:lineRule="auto" w:line="240" w:before="0" w:after="0"/>
              <w:ind w:start="113" w:end="113"/>
              <w:jc w:val="center"/>
              <w:rPr>
                <w:rFonts w:ascii="Calibri" w:hAnsi="Calibri" w:eastAsia="Times New Roman" w:cs="Times New Roman"/>
                <w:b/>
                <w:bCs/>
                <w:color w:val="000000"/>
                <w:sz w:val="16"/>
                <w:szCs w:val="16"/>
              </w:rPr>
            </w:pPr>
            <w:r>
              <w:rPr>
                <w:rFonts w:eastAsia="Times New Roman" w:cs="Times New Roman"/>
                <w:b/>
                <w:bCs/>
                <w:color w:val="000000"/>
                <w:sz w:val="16"/>
                <w:szCs w:val="16"/>
              </w:rPr>
              <w:t>LIKELIHOOD</w:t>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5</w:t>
            </w:r>
          </w:p>
        </w:tc>
        <w:tc>
          <w:tcPr>
            <w:tcW w:w="579"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5</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10</w:t>
            </w:r>
          </w:p>
        </w:tc>
        <w:tc>
          <w:tcPr>
            <w:tcW w:w="581"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15</w:t>
            </w:r>
          </w:p>
        </w:tc>
        <w:tc>
          <w:tcPr>
            <w:tcW w:w="580"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20</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25</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4</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4</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8</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12</w:t>
            </w:r>
          </w:p>
        </w:tc>
        <w:tc>
          <w:tcPr>
            <w:tcW w:w="580"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16</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20</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3</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3</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6</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9</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12</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15</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4</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6</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8</w:t>
            </w:r>
          </w:p>
        </w:tc>
        <w:tc>
          <w:tcPr>
            <w:tcW w:w="585"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10</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w:t>
            </w:r>
          </w:p>
        </w:tc>
        <w:tc>
          <w:tcPr>
            <w:tcW w:w="581"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3</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4</w:t>
            </w:r>
          </w:p>
        </w:tc>
        <w:tc>
          <w:tcPr>
            <w:tcW w:w="585"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5</w:t>
            </w:r>
          </w:p>
        </w:tc>
      </w:tr>
      <w:tr>
        <w:trPr>
          <w:trHeight w:val="481" w:hRule="atLeast"/>
          <w:cantSplit/>
        </w:trPr>
        <w:tc>
          <w:tcPr>
            <w:tcW w:w="974" w:type="dxa"/>
            <w:gridSpan w:val="2"/>
            <w:vMerge w:val="restart"/>
            <w:tcBorders/>
            <w:shd w:color="auto" w:fill="auto" w:val="clear"/>
          </w:tcPr>
          <w:p>
            <w:pPr>
              <w:pStyle w:val="Normal"/>
              <w:spacing w:before="0" w:after="0"/>
              <w:rPr>
                <w:rFonts w:cs="Times New Roman"/>
                <w:sz w:val="16"/>
                <w:szCs w:val="16"/>
              </w:rPr>
            </w:pPr>
            <w:r>
              <w:rPr>
                <w:rFonts w:cs="Times New Roman"/>
                <w:sz w:val="16"/>
                <w:szCs w:val="16"/>
              </w:rPr>
            </w:r>
          </w:p>
        </w:tc>
        <w:tc>
          <w:tcPr>
            <w:tcW w:w="579"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1</w:t>
            </w:r>
          </w:p>
        </w:tc>
        <w:tc>
          <w:tcPr>
            <w:tcW w:w="580"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2</w:t>
            </w:r>
          </w:p>
        </w:tc>
        <w:tc>
          <w:tcPr>
            <w:tcW w:w="581"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3</w:t>
            </w:r>
          </w:p>
        </w:tc>
        <w:tc>
          <w:tcPr>
            <w:tcW w:w="580"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4</w:t>
            </w:r>
          </w:p>
        </w:tc>
        <w:tc>
          <w:tcPr>
            <w:tcW w:w="585"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color w:val="000000"/>
                <w:sz w:val="16"/>
                <w:szCs w:val="16"/>
              </w:rPr>
              <w:t>5</w:t>
            </w:r>
          </w:p>
        </w:tc>
      </w:tr>
      <w:tr>
        <w:trPr>
          <w:trHeight w:val="336" w:hRule="atLeast"/>
        </w:trPr>
        <w:tc>
          <w:tcPr>
            <w:tcW w:w="974" w:type="dxa"/>
            <w:gridSpan w:val="2"/>
            <w:vMerge w:val="continue"/>
            <w:tcBorders/>
            <w:shd w:color="auto" w:fill="auto" w:val="clear"/>
          </w:tcPr>
          <w:p>
            <w:pPr>
              <w:pStyle w:val="Normal"/>
              <w:spacing w:lineRule="auto" w:line="240" w:before="0" w:after="0"/>
              <w:rPr>
                <w:rFonts w:ascii="Calibri" w:hAnsi="Calibri" w:eastAsia="Times New Roman" w:cs="Times New Roman"/>
                <w:color w:val="000000"/>
                <w:sz w:val="16"/>
                <w:szCs w:val="16"/>
              </w:rPr>
            </w:pPr>
            <w:r>
              <w:rPr>
                <w:rFonts w:eastAsia="Times New Roman" w:cs="Times New Roman"/>
                <w:color w:val="000000"/>
                <w:sz w:val="16"/>
                <w:szCs w:val="16"/>
              </w:rPr>
            </w:r>
          </w:p>
        </w:tc>
        <w:tc>
          <w:tcPr>
            <w:tcW w:w="2905" w:type="dxa"/>
            <w:gridSpan w:val="5"/>
            <w:tcBorders/>
            <w:shd w:color="auto" w:fill="FFFFFF" w:themeFill="background1" w:val="clear"/>
            <w:vAlign w:val="bottom"/>
          </w:tcPr>
          <w:p>
            <w:pPr>
              <w:pStyle w:val="Normal"/>
              <w:spacing w:lineRule="auto" w:line="240" w:before="0" w:after="0"/>
              <w:jc w:val="center"/>
              <w:rPr>
                <w:rFonts w:ascii="Calibri" w:hAnsi="Calibri" w:eastAsia="Times New Roman" w:cs="Times New Roman"/>
                <w:b/>
                <w:bCs/>
                <w:color w:val="000000"/>
                <w:sz w:val="16"/>
                <w:szCs w:val="16"/>
              </w:rPr>
            </w:pPr>
            <w:r>
              <w:rPr>
                <w:rFonts w:eastAsia="Times New Roman" w:cs="Times New Roman"/>
                <w:b/>
                <w:bCs/>
                <w:color w:val="000000"/>
                <w:sz w:val="16"/>
                <w:szCs w:val="16"/>
              </w:rPr>
              <w:t>IMPACT</w:t>
            </w:r>
          </w:p>
        </w:tc>
      </w:tr>
    </w:tbl>
    <w:p>
      <w:pPr>
        <w:pStyle w:val="Normal"/>
        <w:spacing w:before="0" w:after="0"/>
        <w:rPr>
          <w:rFonts w:ascii="Lucida Sans" w:hAnsi="Lucida Sans" w:eastAsia="Calibri" w:cs="Times New Roman"/>
          <w:sz w:val="16"/>
          <w:szCs w:val="16"/>
        </w:rPr>
      </w:pPr>
      <w:r/>
      <w:r>
        <w:rPr>
          <w:sz w:val="24"/>
          <w:szCs w:val="24"/>
          <w:lang w:eastAsia="en-GB"/>
        </w:rPr>
        <w:t xml:space="preserve"> </w:t>
      </w:r>
    </w:p>
    <w:tbl>
      <w:tblPr>
        <w:tblStyle w:val="TableGrid"/>
        <w:tblpPr w:vertAnchor="text" w:horzAnchor="margin" w:tblpXSpec="right" w:leftFromText="180" w:rightFromText="180" w:tblpY="211"/>
        <w:tblW w:w="4793" w:type="dxa"/>
        <w:jc w:val="end"/>
        <w:tblInd w:w="0" w:type="dxa"/>
        <w:tblLayout w:type="fixed"/>
        <w:tblCellMar>
          <w:top w:w="0" w:type="dxa"/>
          <w:start w:w="108" w:type="dxa"/>
          <w:bottom w:w="0" w:type="dxa"/>
          <w:end w:w="108" w:type="dxa"/>
        </w:tblCellMar>
        <w:tblLook w:val="04a0" w:firstRow="1" w:noVBand="1" w:lastRow="0" w:firstColumn="1" w:lastColumn="0" w:noHBand="0"/>
      </w:tblPr>
      <w:tblGrid>
        <w:gridCol w:w="446"/>
        <w:gridCol w:w="1278"/>
        <w:gridCol w:w="3069"/>
      </w:tblGrid>
      <w:tr>
        <w:trPr>
          <w:trHeight w:val="291" w:hRule="atLeast"/>
        </w:trPr>
        <w:tc>
          <w:tcPr>
            <w:tcW w:w="1724" w:type="dxa"/>
            <w:gridSpan w:val="2"/>
            <w:tcBorders/>
            <w:shd w:color="auto" w:fill="D9D9D9" w:themeFill="background1" w:themeFillShade="d9" w:val="clear"/>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Impact</w:t>
            </w:r>
          </w:p>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r>
          </w:p>
        </w:tc>
        <w:tc>
          <w:tcPr>
            <w:tcW w:w="3069" w:type="dxa"/>
            <w:tcBorders/>
            <w:shd w:color="auto" w:fill="D9D9D9" w:themeFill="background1" w:themeFillShade="d9" w:val="clear"/>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Health &amp; Safety</w:t>
            </w:r>
          </w:p>
        </w:tc>
      </w:tr>
      <w:tr>
        <w:trPr>
          <w:trHeight w:val="29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1</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Trivial - insignificant</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Very minor injuries e.g. slight bruising</w:t>
            </w:r>
          </w:p>
        </w:tc>
      </w:tr>
      <w:tr>
        <w:trPr>
          <w:trHeight w:val="583"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2</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Minor</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Injuries or illness e.g. small cut or abrasion which require basic first aid treatment even in self-administered.  </w:t>
            </w:r>
          </w:p>
        </w:tc>
      </w:tr>
      <w:tr>
        <w:trPr>
          <w:trHeight w:val="43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3</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Moderate</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Injuries or illness e.g. strain or sprain requiring first aid or medical support.  </w:t>
            </w:r>
          </w:p>
        </w:tc>
      </w:tr>
      <w:tr>
        <w:trPr>
          <w:trHeight w:val="43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4</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Major </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Injuries or illness e.g. broken bone requiring medical support &gt;24 hours and time off work &gt;4 weeks.</w:t>
            </w:r>
          </w:p>
        </w:tc>
      </w:tr>
      <w:tr>
        <w:trPr>
          <w:trHeight w:val="583"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5</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Severe – extremely significant</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Fatality or multiple serious injuries or illness requiring hospital admission or significant time off work.  </w:t>
            </w:r>
          </w:p>
        </w:tc>
      </w:tr>
    </w:tbl>
    <w:p>
      <w:pPr>
        <w:pStyle w:val="Normal"/>
        <w:rPr>
          <w:rFonts w:ascii="Lucida Sans" w:hAnsi="Lucida Sans" w:eastAsia="Calibri" w:cs="Times New Roman"/>
          <w:b/>
          <w:bCs/>
          <w:szCs w:val="18"/>
        </w:rPr>
      </w:pPr>
      <w:r>
        <w:rPr>
          <w:rFonts w:eastAsia="Calibri" w:cs="Times New Roman" w:ascii="Lucida Sans" w:hAnsi="Lucida Sans"/>
          <w:b/>
          <w:bCs/>
          <w:szCs w:val="18"/>
        </w:rPr>
        <mc:AlternateContent>
          <mc:Choice Requires="wps">
            <w:drawing>
              <wp:anchor distT="45720" distB="45720" distL="113665" distR="123825" simplePos="0" relativeHeight="3" behindDoc="0" locked="0" layoutInCell="0" allowOverlap="1" wp14:anchorId="3C5F0551">
                <wp:simplePos x="0" y="0"/>
                <wp:positionH relativeFrom="margin">
                  <wp:posOffset>2781300</wp:posOffset>
                </wp:positionH>
                <wp:positionV relativeFrom="paragraph">
                  <wp:posOffset>172085</wp:posOffset>
                </wp:positionV>
                <wp:extent cx="3514725" cy="3314700"/>
                <wp:effectExtent l="635" t="0" r="0" b="0"/>
                <wp:wrapSquare wrapText="bothSides"/>
                <wp:docPr id="15" name="Text Box 2"/>
                <a:graphic xmlns:a="http://schemas.openxmlformats.org/drawingml/2006/main">
                  <a:graphicData uri="http://schemas.microsoft.com/office/word/2010/wordprocessingShape">
                    <wps:wsp>
                      <wps:cNvSpPr/>
                      <wps:spPr>
                        <a:xfrm>
                          <a:off x="0" y="0"/>
                          <a:ext cx="3514680" cy="3314880"/>
                        </a:xfrm>
                        <a:prstGeom prst="rect">
                          <a:avLst/>
                        </a:prstGeom>
                        <a:solidFill>
                          <a:srgbClr val="FFFFFF"/>
                        </a:solidFill>
                        <a:ln w="9525">
                          <a:noFill/>
                        </a:ln>
                      </wps:spPr>
                      <wps:style>
                        <a:lnRef idx="0"/>
                        <a:fillRef idx="0"/>
                        <a:effectRef idx="0"/>
                        <a:fontRef idx="minor"/>
                      </wps:style>
                      <wps:txbx>
                        <w:txbxContent>
                          <w:p>
                            <w:pPr>
                              <w:pStyle w:val="FrameContents"/>
                              <w:rPr>
                                <w:rFonts w:ascii="Lucida Sans" w:hAnsi="Lucida Sans"/>
                                <w:sz w:val="16"/>
                                <w:szCs w:val="16"/>
                              </w:rPr>
                            </w:pPr>
                            <w:r>
                              <w:rPr>
                                <w:rFonts w:ascii="Lucida Sans" w:hAnsi="Lucida Sans"/>
                                <w:sz w:val="16"/>
                                <w:szCs w:val="16"/>
                              </w:rPr>
                              <w:t>Risk process</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impact and likelihood using the tables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risk rating by multiplying the Impact by the likelihood using the coloured matrix.</w:t>
                            </w:r>
                          </w:p>
                          <w:p>
                            <w:pPr>
                              <w:pStyle w:val="ListParagraph"/>
                              <w:numPr>
                                <w:ilvl w:val="0"/>
                                <w:numId w:val="1"/>
                              </w:numPr>
                              <w:ind w:hanging="284" w:start="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green, additional controls are not necessary.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pPr>
                              <w:pStyle w:val="ListParagraph"/>
                              <w:numPr>
                                <w:ilvl w:val="0"/>
                                <w:numId w:val="1"/>
                              </w:numPr>
                              <w:ind w:hanging="284" w:start="284"/>
                              <w:rPr>
                                <w:rFonts w:ascii="Lucida Sans" w:hAnsi="Lucida Sans"/>
                                <w:sz w:val="16"/>
                                <w:szCs w:val="16"/>
                              </w:rPr>
                            </w:pPr>
                            <w:r>
                              <w:rPr>
                                <w:rFonts w:ascii="Lucida Sans" w:hAnsi="Lucida Sans"/>
                                <w:sz w:val="16"/>
                                <w:szCs w:val="16"/>
                              </w:rPr>
                              <w:t>Control measures should follow the risk hierarchy, where appropriate as per the pyramid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p>
                            <w:pPr>
                              <w:pStyle w:val="FrameContents"/>
                              <w:spacing w:before="0" w:after="200"/>
                              <w:rPr/>
                            </w:pPr>
                            <w:r>
                              <w:rPr/>
                            </w:r>
                          </w:p>
                        </w:txbxContent>
                      </wps:txbx>
                      <wps:bodyPr anchor="t">
                        <a:noAutofit/>
                      </wps:bodyPr>
                    </wps:wsp>
                  </a:graphicData>
                </a:graphic>
              </wp:anchor>
            </w:drawing>
          </mc:Choice>
          <mc:Fallback>
            <w:pict>
              <v:rect id="shape_0" fillcolor="white" stroked="f" o:allowincell="f" style="position:absolute;margin-left:219pt;margin-top:13.55pt;width:276.7pt;height:260.95pt;mso-wrap-style:square;v-text-anchor:top;mso-position-horizontal-relative:margin" wp14:anchorId="3C5F0551">
                <v:fill o:detectmouseclick="t" type="solid" color2="black"/>
                <v:stroke color="#3465a4" weight="9360" joinstyle="miter" endcap="flat"/>
                <v:textbox>
                  <w:txbxContent>
                    <w:p>
                      <w:pPr>
                        <w:pStyle w:val="FrameContents"/>
                        <w:rPr>
                          <w:rFonts w:ascii="Lucida Sans" w:hAnsi="Lucida Sans"/>
                          <w:sz w:val="16"/>
                          <w:szCs w:val="16"/>
                        </w:rPr>
                      </w:pPr>
                      <w:r>
                        <w:rPr>
                          <w:rFonts w:ascii="Lucida Sans" w:hAnsi="Lucida Sans"/>
                          <w:sz w:val="16"/>
                          <w:szCs w:val="16"/>
                        </w:rPr>
                        <w:t>Risk process</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impact and likelihood using the tables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risk rating by multiplying the Impact by the likelihood using the coloured matrix.</w:t>
                      </w:r>
                    </w:p>
                    <w:p>
                      <w:pPr>
                        <w:pStyle w:val="ListParagraph"/>
                        <w:numPr>
                          <w:ilvl w:val="0"/>
                          <w:numId w:val="1"/>
                        </w:numPr>
                        <w:ind w:hanging="284" w:start="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green, additional controls are not necessary.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pPr>
                        <w:pStyle w:val="ListParagraph"/>
                        <w:numPr>
                          <w:ilvl w:val="0"/>
                          <w:numId w:val="1"/>
                        </w:numPr>
                        <w:ind w:hanging="284" w:start="284"/>
                        <w:rPr>
                          <w:rFonts w:ascii="Lucida Sans" w:hAnsi="Lucida Sans"/>
                          <w:sz w:val="16"/>
                          <w:szCs w:val="16"/>
                        </w:rPr>
                      </w:pPr>
                      <w:r>
                        <w:rPr>
                          <w:rFonts w:ascii="Lucida Sans" w:hAnsi="Lucida Sans"/>
                          <w:sz w:val="16"/>
                          <w:szCs w:val="16"/>
                        </w:rPr>
                        <w:t>Control measures should follow the risk hierarchy, where appropriate as per the pyramid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p>
                      <w:pPr>
                        <w:pStyle w:val="FrameContents"/>
                        <w:spacing w:before="0" w:after="200"/>
                        <w:rPr/>
                      </w:pPr>
                      <w:r>
                        <w:rPr/>
                      </w:r>
                    </w:p>
                  </w:txbxContent>
                </v:textbox>
                <w10:wrap type="square"/>
              </v:rect>
            </w:pict>
          </mc:Fallback>
        </mc:AlternateContent>
      </w:r>
    </w:p>
    <w:p>
      <w:pPr>
        <w:pStyle w:val="Normal"/>
        <w:rPr/>
      </w:pPr>
      <w:r>
        <w:rPr/>
      </w:r>
    </w:p>
    <w:tbl>
      <w:tblPr>
        <w:tblStyle w:val="TableGrid"/>
        <w:tblpPr w:vertAnchor="text" w:horzAnchor="margin" w:tblpXSpec="right" w:leftFromText="180" w:rightFromText="180" w:tblpY="58"/>
        <w:tblW w:w="4817" w:type="dxa"/>
        <w:jc w:val="end"/>
        <w:tblInd w:w="0" w:type="dxa"/>
        <w:tblLayout w:type="fixed"/>
        <w:tblCellMar>
          <w:top w:w="0" w:type="dxa"/>
          <w:start w:w="108" w:type="dxa"/>
          <w:bottom w:w="0" w:type="dxa"/>
          <w:end w:w="108" w:type="dxa"/>
        </w:tblCellMar>
        <w:tblLook w:val="04a0" w:firstRow="1" w:noVBand="1" w:lastRow="0" w:firstColumn="1" w:lastColumn="0" w:noHBand="0"/>
      </w:tblPr>
      <w:tblGrid>
        <w:gridCol w:w="1005"/>
        <w:gridCol w:w="3812"/>
      </w:tblGrid>
      <w:tr>
        <w:trPr>
          <w:trHeight w:val="481" w:hRule="atLeast"/>
        </w:trPr>
        <w:tc>
          <w:tcPr>
            <w:tcW w:w="4817" w:type="dxa"/>
            <w:gridSpan w:val="2"/>
            <w:tcBorders/>
            <w:shd w:color="auto" w:fill="D9D9D9" w:themeFill="background1" w:themeFillShade="d9" w:val="clear"/>
          </w:tcPr>
          <w:p>
            <w:pPr>
              <w:pStyle w:val="Normal"/>
              <w:widowControl/>
              <w:spacing w:lineRule="auto" w:line="240" w:before="0" w:after="0"/>
              <w:jc w:val="start"/>
              <w:rPr>
                <w:color w:themeColor="text1" w:val="000000"/>
                <w:sz w:val="16"/>
                <w:szCs w:val="16"/>
              </w:rPr>
            </w:pPr>
            <w:r>
              <w:rPr>
                <w:rFonts w:eastAsia="Calibri" w:cs="Arial"/>
                <w:color w:themeColor="text1" w:val="000000"/>
                <w:kern w:val="0"/>
                <w:sz w:val="16"/>
                <w:szCs w:val="16"/>
                <w:lang w:val="en-GB" w:eastAsia="en-US" w:bidi="ar-SA"/>
              </w:rPr>
              <w:t>Likelihood</w:t>
            </w:r>
          </w:p>
        </w:tc>
      </w:tr>
      <w:tr>
        <w:trPr>
          <w:trHeight w:val="220"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1</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Rare</w:t>
            </w:r>
            <w:r>
              <w:rPr>
                <w:rFonts w:eastAsia="Calibri" w:cs="Times New Roman"/>
                <w:kern w:val="0"/>
                <w:sz w:val="16"/>
                <w:szCs w:val="16"/>
                <w:lang w:val="en-GB" w:eastAsia="en-US" w:bidi="ar-SA"/>
              </w:rPr>
              <w:t xml:space="preserve"> e.g. 1 in 100,000 chance or higher</w:t>
            </w:r>
          </w:p>
        </w:tc>
      </w:tr>
      <w:tr>
        <w:trPr>
          <w:trHeight w:val="239"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2</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Unlikely e.g. 1 in 10,000 chance or higher</w:t>
            </w:r>
          </w:p>
        </w:tc>
      </w:tr>
      <w:tr>
        <w:trPr>
          <w:trHeight w:val="239"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3</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Possible e.g. 1 in 1,000 chance or higher</w:t>
            </w:r>
          </w:p>
        </w:tc>
      </w:tr>
      <w:tr>
        <w:trPr>
          <w:trHeight w:val="220"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4</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Likely e.g. 1 in 100 chance or higher</w:t>
            </w:r>
          </w:p>
        </w:tc>
      </w:tr>
      <w:tr>
        <w:trPr>
          <w:trHeight w:val="75"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5</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Very Likely e.g. 1 in 10 chance or higher</w:t>
            </w:r>
          </w:p>
        </w:tc>
      </w:tr>
    </w:tbl>
    <w:p>
      <w:pPr>
        <w:pStyle w:val="Normal"/>
        <w:widowControl/>
        <w:bidi w:val="0"/>
        <w:spacing w:lineRule="auto" w:line="276" w:before="0" w:after="200"/>
        <w:jc w:val="start"/>
        <w:rPr/>
      </w:pPr>
      <w:r>
        <w:rPr/>
      </w:r>
    </w:p>
    <w:sectPr>
      <w:headerReference w:type="even" r:id="rId14"/>
      <w:headerReference w:type="default" r:id="rId15"/>
      <w:headerReference w:type="first" r:id="rId16"/>
      <w:footerReference w:type="even" r:id="rId17"/>
      <w:footerReference w:type="default" r:id="rId18"/>
      <w:footerReference w:type="first" r:id="rId19"/>
      <w:type w:val="nextPage"/>
      <w:pgSz w:orient="landscape" w:w="16838" w:h="11906"/>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1"/>
    <w:family w:val="swiss"/>
    <w:pitch w:val="default"/>
  </w:font>
  <w:font w:name="Tahoma">
    <w:charset w:val="01"/>
    <w:family w:val="swiss"/>
    <w:pitch w:val="default"/>
  </w:font>
  <w:font w:name="Times New Roman">
    <w:charset w:val="01"/>
    <w:family w:val="roman"/>
    <w:pitch w:val="default"/>
  </w:font>
  <w:font w:name="Lucida Sans">
    <w:charset w:val="01"/>
    <w:family w:val="swiss"/>
    <w:pitch w:val="default"/>
  </w:font>
  <w:font w:name="Verdana">
    <w:charset w:val="01"/>
    <w:family w:val="swiss"/>
    <w:pitch w:val="default"/>
  </w:font>
  <w:font w:name="Georgia">
    <w:charset w:val="01"/>
    <w:family w:val="roman"/>
    <w:pitch w:val="default"/>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50866117"/>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50866117"/>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844" w:leader="none"/>
      </w:tabs>
      <w:rPr>
        <w:rFonts w:ascii="Georgia" w:hAnsi="Georgia"/>
        <w:color w:themeColor="text2" w:val="1F497D"/>
        <w:sz w:val="32"/>
      </w:rPr>
    </w:pPr>
    <w:r>
      <w:rPr>
        <w:rFonts w:ascii="Georgia" w:hAnsi="Georgia"/>
        <w:color w:themeColor="text2" w:val="1F497D"/>
        <w:sz w:val="32"/>
      </w:rPr>
      <w:t>University of Southampton Health &amp; Safety Risk Assessment</w:t>
    </w:r>
  </w:p>
  <w:p>
    <w:pPr>
      <w:pStyle w:val="Header"/>
      <w:tabs>
        <w:tab w:val="left" w:pos="9844" w:leader="none"/>
      </w:tabs>
      <w:rPr>
        <w:color w:themeColor="background1" w:themeShade="80" w:val="808080"/>
      </w:rPr>
    </w:pPr>
    <w:r>
      <w:rPr>
        <w:color w:themeColor="background1" w:themeShade="80" w:val="808080"/>
      </w:rPr>
      <w:tab/>
      <w:tab/>
      <w:t>Version: 2.3/2017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844" w:leader="none"/>
      </w:tabs>
      <w:rPr>
        <w:rFonts w:ascii="Georgia" w:hAnsi="Georgia"/>
        <w:color w:themeColor="text2" w:val="1F497D"/>
        <w:sz w:val="32"/>
      </w:rPr>
    </w:pPr>
    <w:r>
      <w:rPr>
        <w:rFonts w:ascii="Georgia" w:hAnsi="Georgia"/>
        <w:color w:themeColor="text2" w:val="1F497D"/>
        <w:sz w:val="32"/>
      </w:rPr>
      <w:t>University of Southampton Health &amp; Safety Risk Assessment</w:t>
    </w:r>
  </w:p>
  <w:p>
    <w:pPr>
      <w:pStyle w:val="Header"/>
      <w:tabs>
        <w:tab w:val="left" w:pos="9844" w:leader="none"/>
      </w:tabs>
      <w:rPr>
        <w:color w:themeColor="background1" w:themeShade="80" w:val="808080"/>
      </w:rPr>
    </w:pPr>
    <w:r>
      <w:rPr>
        <w:color w:themeColor="background1" w:themeShade="80" w:val="808080"/>
      </w:rPr>
      <w:tab/>
      <w:tab/>
      <w:t>Version: 2.3/2017</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6"/>
      <w:numFmt w:val="bullet"/>
      <w:lvlText w:val="-"/>
      <w:lvlJc w:val="start"/>
      <w:pPr>
        <w:tabs>
          <w:tab w:val="num" w:pos="0"/>
        </w:tabs>
        <w:ind w:start="1080" w:hanging="360"/>
      </w:pPr>
      <w:rPr>
        <w:rFonts w:ascii="Calibri" w:hAnsi="Calibri" w:cs="Calibri"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pPr>
      <w:widowControl/>
      <w:bidi w:val="0"/>
      <w:spacing w:lineRule="auto" w:line="276" w:before="0" w:after="20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a704a1"/>
    <w:rPr>
      <w:rFonts w:ascii="Tahoma" w:hAnsi="Tahoma" w:cs="Tahoma"/>
      <w:sz w:val="16"/>
      <w:szCs w:val="16"/>
    </w:rPr>
  </w:style>
  <w:style w:type="character" w:styleId="HeaderChar" w:customStyle="1">
    <w:name w:val="Header Char"/>
    <w:basedOn w:val="DefaultParagraphFont"/>
    <w:link w:val="Header"/>
    <w:uiPriority w:val="99"/>
    <w:qFormat/>
    <w:rsid w:val="00ac47b4"/>
    <w:rPr/>
  </w:style>
  <w:style w:type="character" w:styleId="FooterChar" w:customStyle="1">
    <w:name w:val="Footer Char"/>
    <w:basedOn w:val="DefaultParagraphFont"/>
    <w:link w:val="Footer"/>
    <w:uiPriority w:val="99"/>
    <w:qFormat/>
    <w:rsid w:val="00ac47b4"/>
    <w:rPr/>
  </w:style>
  <w:style w:type="character" w:styleId="PlainTextChar" w:customStyle="1">
    <w:name w:val="Plain Text Char"/>
    <w:basedOn w:val="DefaultParagraphFont"/>
    <w:link w:val="PlainText"/>
    <w:uiPriority w:val="99"/>
    <w:qFormat/>
    <w:rsid w:val="00f80957"/>
    <w:rPr>
      <w:rFonts w:ascii="Calibri" w:hAnsi="Calibri" w:eastAsia="宋体" w:eastAsiaTheme="minorEastAsia"/>
      <w:szCs w:val="21"/>
      <w:lang w:eastAsia="zh-CN"/>
    </w:rPr>
  </w:style>
  <w:style w:type="character" w:styleId="CommentReference">
    <w:name w:val="annotation reference"/>
    <w:basedOn w:val="DefaultParagraphFont"/>
    <w:uiPriority w:val="99"/>
    <w:semiHidden/>
    <w:unhideWhenUsed/>
    <w:qFormat/>
    <w:rsid w:val="002f5c84"/>
    <w:rPr>
      <w:sz w:val="16"/>
      <w:szCs w:val="16"/>
    </w:rPr>
  </w:style>
  <w:style w:type="character" w:styleId="CommentTextChar" w:customStyle="1">
    <w:name w:val="Comment Text Char"/>
    <w:basedOn w:val="DefaultParagraphFont"/>
    <w:link w:val="CommentText"/>
    <w:uiPriority w:val="99"/>
    <w:qFormat/>
    <w:rsid w:val="002f5c84"/>
    <w:rPr>
      <w:sz w:val="20"/>
      <w:szCs w:val="20"/>
    </w:rPr>
  </w:style>
  <w:style w:type="character" w:styleId="CommentSubjectChar" w:customStyle="1">
    <w:name w:val="Comment Subject Char"/>
    <w:basedOn w:val="CommentTextChar"/>
    <w:link w:val="annotationsubject"/>
    <w:uiPriority w:val="99"/>
    <w:semiHidden/>
    <w:qFormat/>
    <w:rsid w:val="002f5c84"/>
    <w:rPr>
      <w:b/>
      <w:bCs/>
      <w:sz w:val="20"/>
      <w:szCs w:val="20"/>
    </w:rPr>
  </w:style>
  <w:style w:type="character" w:styleId="Hyperlink">
    <w:name w:val="Hyperlink"/>
    <w:basedOn w:val="DefaultParagraphFont"/>
    <w:uiPriority w:val="99"/>
    <w:unhideWhenUsed/>
    <w:rsid w:val="008654f5"/>
    <w:rPr>
      <w:color w:themeColor="hyperlink" w:val="0000FF"/>
      <w:u w:val="single"/>
    </w:rPr>
  </w:style>
  <w:style w:type="character" w:styleId="UnresolvedMention">
    <w:name w:val="Unresolved Mention"/>
    <w:basedOn w:val="DefaultParagraphFont"/>
    <w:uiPriority w:val="99"/>
    <w:semiHidden/>
    <w:unhideWhenUsed/>
    <w:qFormat/>
    <w:rsid w:val="00827f31"/>
    <w:rPr>
      <w:color w:val="605E5C"/>
      <w:shd w:fill="E1DFDD" w:val="clear"/>
    </w:rPr>
  </w:style>
  <w:style w:type="character" w:styleId="normaltextrun" w:customStyle="1">
    <w:name w:val="normaltextrun"/>
    <w:basedOn w:val="DefaultParagraphFont"/>
    <w:uiPriority w:val="1"/>
    <w:qFormat/>
    <w:rsid w:val="159c476b"/>
    <w:rPr>
      <w:rFonts w:ascii="Calibri" w:hAnsi="Calibri" w:eastAsia="宋体" w:cs="Arial" w:asciiTheme="minorAscii" w:cstheme="minorBidi" w:eastAsiaTheme="minorEastAsia" w:hAnsiTheme="minorAscii"/>
      <w:sz w:val="22"/>
      <w:szCs w:val="22"/>
    </w:rPr>
  </w:style>
  <w:style w:type="paragraph" w:styleId="Heading">
    <w:name w:val="Heading"/>
    <w:basedOn w:val="Normal"/>
    <w:next w:val="BodyText"/>
    <w:qFormat/>
    <w:pPr>
      <w:keepNext w:val="true"/>
      <w:spacing w:before="240" w:after="120"/>
    </w:pPr>
    <w:rPr>
      <w:rFonts w:ascii="Calibri" w:hAnsi="Calibri"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rPr>
  </w:style>
  <w:style w:type="paragraph" w:styleId="BalloonText">
    <w:name w:val="Balloon Text"/>
    <w:basedOn w:val="Normal"/>
    <w:link w:val="BalloonTextChar"/>
    <w:uiPriority w:val="99"/>
    <w:semiHidden/>
    <w:unhideWhenUsed/>
    <w:qFormat/>
    <w:rsid w:val="00a704a1"/>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ac47b4"/>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ac47b4"/>
    <w:pPr>
      <w:tabs>
        <w:tab w:val="clear" w:pos="720"/>
        <w:tab w:val="center" w:pos="4513" w:leader="none"/>
        <w:tab w:val="right" w:pos="9026" w:leader="none"/>
      </w:tabs>
      <w:spacing w:lineRule="auto" w:line="240" w:before="0" w:after="0"/>
    </w:pPr>
    <w:rPr/>
  </w:style>
  <w:style w:type="paragraph" w:styleId="PlainText">
    <w:name w:val="Plain Text"/>
    <w:basedOn w:val="Normal"/>
    <w:link w:val="PlainTextChar"/>
    <w:uiPriority w:val="99"/>
    <w:unhideWhenUsed/>
    <w:qFormat/>
    <w:rsid w:val="00f80957"/>
    <w:pPr>
      <w:spacing w:lineRule="auto" w:line="240" w:before="0" w:after="0"/>
    </w:pPr>
    <w:rPr>
      <w:rFonts w:ascii="Calibri" w:hAnsi="Calibri" w:eastAsia="宋体" w:eastAsiaTheme="minorEastAsia"/>
      <w:szCs w:val="21"/>
      <w:lang w:eastAsia="zh-CN"/>
    </w:rPr>
  </w:style>
  <w:style w:type="paragraph" w:styleId="ListParagraph">
    <w:name w:val="List Paragraph"/>
    <w:basedOn w:val="Normal"/>
    <w:uiPriority w:val="34"/>
    <w:qFormat/>
    <w:rsid w:val="00f34a14"/>
    <w:pPr>
      <w:spacing w:before="0" w:after="200"/>
      <w:ind w:start="720"/>
      <w:contextualSpacing/>
    </w:pPr>
    <w:rPr/>
  </w:style>
  <w:style w:type="paragraph" w:styleId="CommentText">
    <w:name w:val="annotation text"/>
    <w:basedOn w:val="Normal"/>
    <w:link w:val="CommentTextChar"/>
    <w:uiPriority w:val="99"/>
    <w:unhideWhenUsed/>
    <w:rsid w:val="002f5c84"/>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2f5c84"/>
    <w:pPr/>
    <w:rPr>
      <w:b/>
      <w:bCs/>
    </w:rPr>
  </w:style>
  <w:style w:type="paragraph" w:styleId="NormalWeb">
    <w:name w:val="Normal (Web)"/>
    <w:basedOn w:val="Normal"/>
    <w:uiPriority w:val="99"/>
    <w:semiHidden/>
    <w:unhideWhenUsed/>
    <w:qFormat/>
    <w:rsid w:val="00736caf"/>
    <w:pPr>
      <w:spacing w:lineRule="auto" w:line="240" w:beforeAutospacing="1" w:afterAutospacing="1"/>
    </w:pPr>
    <w:rPr>
      <w:rFonts w:ascii="Times New Roman" w:hAnsi="Times New Roman" w:eastAsia="Times New Roman" w:cs="Times New Roman"/>
      <w:sz w:val="24"/>
      <w:szCs w:val="24"/>
      <w:lang w:eastAsia="en-GB"/>
    </w:rPr>
  </w:style>
  <w:style w:type="paragraph" w:styleId="NoSpacing">
    <w:name w:val="No Spacing"/>
    <w:uiPriority w:val="1"/>
    <w:qFormat/>
    <w:rsid w:val="002416c0"/>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susu.org/downloads/SUSU-Expect-Respect-Policy.pdf" TargetMode="External"/><Relationship Id="rId4" Type="http://schemas.openxmlformats.org/officeDocument/2006/relationships/hyperlink" Target="https://www.susu.org/groups/admin/howto/protectionaccident" TargetMode="External"/><Relationship Id="rId5" Type="http://schemas.openxmlformats.org/officeDocument/2006/relationships/hyperlink" Target="https://www.accessable.co.uk/" TargetMode="External"/><Relationship Id="rId6" Type="http://schemas.openxmlformats.org/officeDocument/2006/relationships/hyperlink" Target="https://www.susu.org/groups/admin/howto/protectionaccident" TargetMode="External"/><Relationship Id="rId7" Type="http://schemas.openxmlformats.org/officeDocument/2006/relationships/hyperlink" Target="https://www.susu.org/groups/admin/howto/protectionaccident" TargetMode="External"/><Relationship Id="rId8" Type="http://schemas.openxmlformats.org/officeDocument/2006/relationships/image" Target="media/image1.jpeg"/><Relationship Id="rId9" Type="http://schemas.openxmlformats.org/officeDocument/2006/relationships/diagramData" Target="diagrams/data14.xml"/><Relationship Id="rId10" Type="http://schemas.openxmlformats.org/officeDocument/2006/relationships/diagramLayout" Target="diagrams/layout14.xml"/><Relationship Id="rId11" Type="http://schemas.openxmlformats.org/officeDocument/2006/relationships/diagramQuickStyle" Target="diagrams/quickStyle14.xml"/><Relationship Id="rId12" Type="http://schemas.openxmlformats.org/officeDocument/2006/relationships/diagramColors" Target="diagrams/colors14.xml"/><Relationship Id="rId13" Type="http://schemas.microsoft.com/office/2007/relationships/diagramDrawing" Target="diagrams/drawing14.xm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header" Target="header3.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oter" Target="footer3.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Relationship Id="rId28" Type="http://schemas.openxmlformats.org/officeDocument/2006/relationships/customXml" Target="../customXml/item5.xml"/>
</Relationships>
</file>

<file path=word/diagrams/colors14.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4.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4.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7T10:56:59.859"/>
    </inkml:context>
    <inkml:brush xml:id="br0">
      <inkml:brushProperty name="width" value="0.1" units="cm"/>
      <inkml:brushProperty name="height" value="0.1" units="cm"/>
    </inkml:brush>
  </inkml:definitions>
  <inkml:trace contextRef="#ctx0" brushRef="#br0">567 488 16383 0 0,'0'2'0'0'0,"1"3"0"0"0,0 3 0 0 0,0 2 0 0 0,-1 1 0 0 0,1 1 0 0 0,-1 2 0 0 0,1 0 0 0 0,0 1 0 0 0,2 0 0 0 0,0 1 0 0 0,1 1 0 0 0,1 1 0 0 0,1 2 0 0 0,1 2 0 0 0,1 0 0 0 0,-1 0 0 0 0,1 0 0 0 0,0-2 0 0 0,0 1 0 0 0,0-2 0 0 0,-1 1 0 0 0,1-1 0 0 0,0 0 0 0 0,-1 2 0 0 0,2 0 0 0 0,-1 1 0 0 0,1 1 0 0 0,-1-1 0 0 0,0 1 0 0 0,0 0 0 0 0,0 0 0 0 0,-1 0 0 0 0,1 0 0 0 0,0 0 0 0 0,-1 0 0 0 0,1 0 0 0 0,-1 0 0 0 0,0 0 0 0 0,0 0 0 0 0,-1 0 0 0 0,0-2 0 0 0,-2-1 0 0 0,-1-2 0 0 0,-2-1 0 0 0,0-1 0 0 0,-1 0 0 0 0,0-1 0 0 0,0-1 0 0 0,0 1 0 0 0,0 0 0 0 0,-1 0 0 0 0,1 1 0 0 0,0-1 0 0 0,0 0 0 0 0,0 0 0 0 0,0 0 0 0 0,0-1 0 0 0,0-1 0 0 0,0-1 0 0 0,0 0 0 0 0,0-1 0 0 0,-2 0 0 0 0,0 1 0 0 0,-1-1 0 0 0,-1 0 0 0 0,0 1 0 0 0,1-2 0 0 0,-1 0 0 0 0,0-1 0 0 0,0 0 0 0 0,0-1 0 0 0,0-1 0 0 0,-1 1 0 0 0,-1 0 0 0 0,-2 1 0 0 0,-3 1 0 0 0,-1 0 0 0 0,0-1 0 0 0,-1 0 0 0 0,1-1 0 0 0,1-1 0 0 0,1-2 0 0 0,-1 0 0 0 0,1-2 0 0 0,0 0 0 0 0,-2-2 0 0 0,-3 0 0 0 0,-1-2 0 0 0,-3-1 0 0 0,-2 0 0 0 0,-1-1 0 0 0,-3-1 0 0 0,-2 0 0 0 0,-2 0 0 0 0,-1 0 0 0 0,0 1 0 0 0,2 0 0 0 0,1 0 0 0 0,1 1 0 0 0,2 1 0 0 0,1 0 0 0 0,2 0 0 0 0,2 0 0 0 0,2-1 0 0 0,1-1 0 0 0,2 0 0 0 0,2 1 0 0 0,0-1 0 0 0,0 0 0 0 0,1-1 0 0 0,0 1 0 0 0,0-1 0 0 0,0 0 0 0 0,0 0 0 0 0,1 0 0 0 0,1 0 0 0 0,1 1 0 0 0,0-1 0 0 0,0 0 0 0 0,1 0 0 0 0,1 0 0 0 0,1 0 0 0 0,1 1 0 0 0,0-1 0 0 0,0 0 0 0 0,0 0 0 0 0,1 0 0 0 0,-1 1 0 0 0,0 1 0 0 0,1 0 0 0 0,0 2 0 0 0,3-1 0 0 0,2 1 0 0 0,4 0 0 0 0,1 1 0 0 0,3 1 0 0 0,0 0 0 0 0,3 2 0 0 0,3 1 0 0 0,2 1 0 0 0,2 1 0 0 0,2 1 0 0 0,1-1 0 0 0,-1 1 0 0 0,-1-1 0 0 0,-3 0 0 0 0,-2-2 0 0 0,-3 0 0 0 0,0-1 0 0 0,-2 0 0 0 0,0 0 0 0 0,1-1 0 0 0,0 0 0 0 0,2 0 0 0 0,0-2 0 0 0,1 0 0 0 0,0-2 0 0 0,0 0 0 0 0,1-2 0 0 0,-1 0 0 0 0,0-1 0 0 0,1-1 0 0 0,-2-2 0 0 0,0 0 0 0 0,-1 0 0 0 0,0-1 0 0 0,0-1 0 0 0,1 0 0 0 0,1-1 0 0 0,-1-1 0 0 0,2-1 0 0 0,2-3 0 0 0,2-3 0 0 0,1-3 0 0 0,0-1 0 0 0,0-2 0 0 0,-1 0 0 0 0,-1 1 0 0 0,0-2 0 0 0,-1-2 0 0 0,0-3 0 0 0,1-5 0 0 0,2-8 0 0 0,3-6 0 0 0,-1-2 0 0 0,-1-1 0 0 0,-1 0 0 0 0,-3 0 0 0 0,-3 2 0 0 0,-2 5 0 0 0,-3 3 0 0 0,-1 2 0 0 0,-2 2 0 0 0,-1 3 0 0 0,-2 3 0 0 0,-1 4 0 0 0,-2 3 0 0 0,0 5 0 0 0,-1 4 0 0 0,0 3 0 0 0,-1 3 0 0 0,-1 3 0 0 0,-1 2 0 0 0,0 0 0 0 0,0 2 0 0 0,-1 0 0 0 0,2 0 0 0 0,0 0 0 0 0,-1 2 0 0 0,0 2 0 0 0,0 2 0 0 0,0 4 0 0 0,-1 2 0 0 0,0 5 0 0 0,0 3 0 0 0,-1 7 0 0 0,-2 7 0 0 0,-1 9 0 0 0,1 6 0 0 0,0 6 0 0 0,0 2 0 0 0,2-2 0 0 0,1 0 0 0 0,1 1 0 0 0,0 2 0 0 0,1 3 0 0 0,-1 2 0 0 0,1-4 0 0 0,1-4 0 0 0,0-5 0 0 0,0-6 0 0 0,1-5 0 0 0,-1-6 0 0 0,0-3 0 0 0,-1-4 0 0 0,1-3 0 0 0,0-3 0 0 0,0-4 0 0 0,1-3 0 0 0,0-2 0 0 0,0-3 0 0 0,0 0 0 0 0,0-2 0 0 0,0 0 0 0 0,0 1 0 0 0,0-1 0 0 0,0 0 0 0 0,0 1 0 0 0,0-1 0 0 0,0 1 0 0 0,0-1 0 0 0,0-3 0 0 0,0-3 0 0 0,0-3 0 0 0,0-3 0 0 0,0-2 0 0 0,0-5 0 0 0,0-8 0 0 0,0-15 0 0 0,-1-24 0 0 0,-4-34 0 0 0,-3-36 0 0 0,-2-18 0 0 0,3 1 0 0 0,1 16 0 0 0,2 25 0 0 0,2 25 0 0 0,1 23 0 0 0,0 15 0 0 0,2 12 0 0 0,0 8 0 0 0,1 6 0 0 0,0 4 0 0 0,0 3 0 0 0,-1 3 0 0 0,2 1 0 0 0,-1 1 0 0 0,2 1 0 0 0,0-2 0 0 0,4-3 0 0 0,2-1 0 0 0,3-2 0 0 0,3-3 0 0 0,6-2 0 0 0,7-2 0 0 0,7-3 0 0 0,4 1 0 0 0,0 2 0 0 0,-2 4 0 0 0,-5 4 0 0 0,-3 3 0 0 0,-4 5 0 0 0,-2 2 0 0 0,-2 3 0 0 0,-2 3 0 0 0,-1 1 0 0 0,0 3 0 0 0,0 4 0 0 0,1 2 0 0 0,1 4 0 0 0,1 3 0 0 0,-1 2 0 0 0,1 3 0 0 0,-2 2 0 0 0,0 5 0 0 0,-2 3 0 0 0,-4 3 0 0 0,-4 1 0 0 0,-3 2 0 0 0,-3-1 0 0 0,-3-1 0 0 0,-2-1 0 0 0,-2-3 0 0 0,-2-4 0 0 0,-2-2 0 0 0,-1-2 0 0 0,-1-3 0 0 0,-2-2 0 0 0,-3 1 0 0 0,-1-1 0 0 0,-5 2 0 0 0,-3 2 0 0 0,-5 1 0 0 0,-5 1 0 0 0,-6 2 0 0 0,-9 2 0 0 0,-8 2 0 0 0,-6 3 0 0 0,-1-1 0 0 0,5-4 0 0 0,7-4 0 0 0,10-4 0 0 0,9-6 0 0 0,7-4 0 0 0,6-3 0 0 0,5-2 0 0 0,4-2 0 0 0,1-2 0 0 0,3 0 0 0 0,1-1 0 0 0,1 0 0 0 0,0 1 0 0 0,1-2 0 0 0,0 0 0 0 0,1 0 0 0 0,2 0 0 0 0,4 1 0 0 0,5 1 0 0 0,8 1 0 0 0,7 4 0 0 0,12 3 0 0 0,10 4 0 0 0,4 2 0 0 0,0 2 0 0 0,-5 0 0 0 0,-5-2 0 0 0,-6 0 0 0 0,-5-1 0 0 0,-5-1 0 0 0,-3-1 0 0 0,-4 1 0 0 0,-1-2 0 0 0,-2 0 0 0 0,-2-2 0 0 0,-3-2 0 0 0,-2-1 0 0 0,-2-2 0 0 0,-1-2 0 0 0,-1 0 0 0 0,-1-1 0 0 0,0-1 0 0 0,-1 1 0 0 0,0-1 0 0 0,0 1 0 0 0,0-1 0 0 0,0 1 0 0 0,0 0 0 0 0,-1 0 0 0 0,1-1 0 0 0,0 1 0 0 0,0 0 0 0 0,2 0 0 0 0,-1-1 0 0 0,2-1 0 0 0,-1 0 0 0 0,2-1 0 0 0,1-2 0 0 0,4-4 0 0 0,5-4 0 0 0,5-7 0 0 0,6-7 0 0 0,5-8 0 0 0,3-5 0 0 0,2-1 0 0 0,0 0 0 0 0,-1 3 0 0 0,-4 4 0 0 0,-3 6 0 0 0,-5 5 0 0 0,-3 5 0 0 0,-2 3 0 0 0,-2 3 0 0 0,-2 2 0 0 0,-1 3 0 0 0,-3 1 0 0 0,0 1 0 0 0,-3 1 0 0 0,-1 0 0 0 0,-1 0 0 0 0,0 1 0 0 0,-2-1 0 0 0,1 0 0 0 0,-2 0 0 0 0,-1-1 0 0 0,-3-1 0 0 0,-2 0 0 0 0,-4 1 0 0 0,-4 1 0 0 0,-5 2 0 0 0,-3 1 0 0 0,-4 3 0 0 0,-4 3 0 0 0,0 3 0 0 0,-1 3 0 0 0,0 3 0 0 0,2 4 0 0 0,0 1 0 0 0,3 2 0 0 0,2 1 0 0 0,3-1 0 0 0,4-2 0 0 0,2-3 0 0 0,4-2 0 0 0,2-3 0 0 0,2-1 0 0 0,1-2 0 0 0,0 0 0 0 0,2-1 0 0 0,0-1 0 0 0,2 1 0 0 0,1 0 0 0 0,1 2 0 0 0,3 1 0 0 0,2 2 0 0 0,2 0 0 0 0,2 1 0 0 0,2 0 0 0 0,2-1 0 0 0,2 0 0 0 0,1-2 0 0 0,1-1 0 0 0,2-3 0 0 0,1-1 0 0 0,0-2 0 0 0,1-1 0 0 0,1-2 0 0 0,2-3 0 0 0,2-2 0 0 0,3-3 0 0 0,-1-2 0 0 0,-1-2 0 0 0,-2 0 0 0 0,-3 0 0 0 0,-2-1 0 0 0,-4 2 0 0 0,-3 0 0 0 0,-2 1 0 0 0,-4 2 0 0 0,0-1 0 0 0,-2-1 0 0 0,-2 1 0 0 0,0 0 0 0 0,-1 0 0 0 0,0 1 0 0 0,-2 0 0 0 0,0-1 0 0 0,0 0 0 0 0,-2-2 0 0 0,0-1 0 0 0,0-3 0 0 0,-3-3 0 0 0,-1-4 0 0 0,-4-2 0 0 0,-4-6 0 0 0,-7-7 0 0 0,-4-4 0 0 0,-5-3 0 0 0,0 0 0 0 0,0 5 0 0 0,3 5 0 0 0,2 6 0 0 0,3 6 0 0 0,5 5 0 0 0,2 4 0 0 0,3 4 0 0 0,3 2 0 0 0,2 3 0 0 0,1 0 0 0 0,1 1 0 0 0,0-1 0 0 0,-1 1 0 0 0,1 0 0 0 0,0-1 0 0 0,2-2 0 0 0,4-3 0 0 0,5-2 0 0 0,4-4 0 0 0,3-1 0 0 0,3-3 0 0 0,1-2 0 0 0,4-3 0 0 0,3-6 0 0 0,6-7 0 0 0,5-9 0 0 0,4-7 0 0 0,1-4 0 0 0,-1-2 0 0 0,-5-1 0 0 0,-4 1 0 0 0,-5 0 0 0 0,-6 4 0 0 0,-3 5 0 0 0,-6 6 0 0 0,-3 5 0 0 0,-4 6 0 0 0,0 3 0 0 0,0 1 0 0 0,1 0 0 0 0,1-3 0 0 0,0-2 0 0 0,1-3 0 0 0,-1 0 0 0 0,1 0 0 0 0,0 2 0 0 0,-2 3 0 0 0,-1 5 0 0 0,-2 5 0 0 0,-1 6 0 0 0,-1 4 0 0 0,-1 3 0 0 0,0 1 0 0 0,-1 4 0 0 0,-1 7 0 0 0,-1 9 0 0 0,-2 11 0 0 0,-4 20 0 0 0,-4 35 0 0 0,-5 32 0 0 0,0 17 0 0 0,0-2 0 0 0,4-11 0 0 0,2-15 0 0 0,3-13 0 0 0,-1-12 0 0 0,0-12 0 0 0,1-8 0 0 0,0-8 0 0 0,1-4 0 0 0,-1-2 0 0 0,1-1 0 0 0,2-4 0 0 0,1-4 0 0 0,1-4 0 0 0,2-6 0 0 0,2-3 0 0 0,-1-5 0 0 0,1-3 0 0 0,1-3 0 0 0,-1-2 0 0 0,0-3 0 0 0,1-1 0 0 0,-1-1 0 0 0,0-1 0 0 0,0 0 0 0 0,0 1 0 0 0,0-1 0 0 0,1-2 0 0 0,0-2 0 0 0,2-5 0 0 0,2-7 0 0 0,5-9 0 0 0,6-15 0 0 0,9-12 0 0 0,5-9 0 0 0,3-1 0 0 0,1 3 0 0 0,-3 7 0 0 0,-1 9 0 0 0,-1 8 0 0 0,-2 8 0 0 0,0 6 0 0 0,0 5 0 0 0,-2 5 0 0 0,-2 3 0 0 0,-1 2 0 0 0,-2 3 0 0 0,-1 2 0 0 0,-2 1 0 0 0,-2 1 0 0 0,-2 2 0 0 0,0 0 0 0 0,-2 2 0 0 0,1 2 0 0 0,-1 2 0 0 0,0 3 0 0 0,0 4 0 0 0,-1 4 0 0 0,-1 5 0 0 0,-1 2 0 0 0,-3 3 0 0 0,-1-2 0 0 0,-2-1 0 0 0,-1-2 0 0 0,-1-1 0 0 0,-1 0 0 0 0,-1-2 0 0 0,-1 0 0 0 0,-1-3 0 0 0,-1-1 0 0 0,-1-2 0 0 0,-1-1 0 0 0,-1-1 0 0 0,0-2 0 0 0,-2-1 0 0 0,0-2 0 0 0,-1-2 0 0 0,-1-1 0 0 0,-1-3 0 0 0,-1 0 0 0 0,0-2 0 0 0,-2-2 0 0 0,-1-1 0 0 0,-4-1 0 0 0,-3-2 0 0 0,-2 0 0 0 0,-2-1 0 0 0,2-1 0 0 0,1 0 0 0 0,4 0 0 0 0,3 0 0 0 0,5 2 0 0 0,2 0 0 0 0,2 1 0 0 0,3 1 0 0 0,1 0 0 0 0,1 0 0 0 0,1 0 0 0 0,0 0 0 0 0,-1 0 0 0 0,1 0 0 0 0,-1 0 0 0 0,2 1 0 0 0,3-1 0 0 0,3 0 0 0 0,6 0 0 0 0,5 0 0 0 0,5 0 0 0 0,6-1 0 0 0,3-1 0 0 0,4 0 0 0 0,0-2 0 0 0,1-1 0 0 0,-1-1 0 0 0,-2-1 0 0 0,-3-1 0 0 0,0-2 0 0 0,-2-2 0 0 0,0-3 0 0 0,-1-4 0 0 0,0-2 0 0 0,-2-2 0 0 0,0-2 0 0 0,-2-1 0 0 0,-2-1 0 0 0,-2-1 0 0 0,-2 2 0 0 0,-2 0 0 0 0,-2 0 0 0 0,-1-1 0 0 0,-1-4 0 0 0,-1-5 0 0 0,3-19 0 0 0,1-32 0 0 0,0-33 0 0 0,-6-25 0 0 0,-6-12 0 0 0,-6 3 0 0 0,-5 12 0 0 0,-1 22 0 0 0,0 24 0 0 0,2 23 0 0 0,1 20 0 0 0,3 14 0 0 0,0 11 0 0 0,2 9 0 0 0,0 5 0 0 0,1 6 0 0 0,0 2 0 0 0,1 2 0 0 0,1 3 0 0 0,0 2 0 0 0,1 1 0 0 0,2 4 0 0 0,1 5 0 0 0,3 9 0 0 0,2 15 0 0 0,2 22 0 0 0,0 34 0 0 0,1 27 0 0 0,-2 11 0 0 0,-3 3 0 0 0,-2-4 0 0 0,-1-5 0 0 0,-3-8 0 0 0,-1-5 0 0 0,-2-3 0 0 0,-4-6 0 0 0,-1-8 0 0 0,0-14 0 0 0,1-15 0 0 0,1-14 0 0 0,1-13 0 0 0,0-9 0 0 0,1-8 0 0 0,0-5 0 0 0,1-3 0 0 0,-1-4 0 0 0,0 0 0 0 0,1-2 0 0 0,0-1 0 0 0,0-1 0 0 0,2 0 0 0 0,0 0 0 0 0,1-1 0 0 0,0 1 0 0 0,0-1 0 0 0,0 1 0 0 0,0 0 0 0 0,0-1 0 0 0,0 0 0 0 0,1-4 0 0 0,2-7 0 0 0,3-9 0 0 0,4-9 0 0 0,3-9 0 0 0,2-6 0 0 0,3-5 0 0 0,0-3 0 0 0,3 1 0 0 0,2 1 0 0 0,1 4 0 0 0,-1 6 0 0 0,-2 7 0 0 0,-2 6 0 0 0,-3 7 0 0 0,-2 4 0 0 0,-1 4 0 0 0,-2 3 0 0 0,-1 4 0 0 0,-2 1 0 0 0,0 1 0 0 0,0 0 0 0 0,1 2 0 0 0,2 0 0 0 0,2 1 0 0 0,1 3 0 0 0,1 3 0 0 0,2 4 0 0 0,0 4 0 0 0,0 5 0 0 0,-2 4 0 0 0,-2 3 0 0 0,-2 1 0 0 0,-3-1 0 0 0,-2-2 0 0 0,-3-3 0 0 0,-1-4 0 0 0,-2-4 0 0 0,0-2 0 0 0,-1-2 0 0 0,-1 0 0 0 0,-1 0 0 0 0,-2 0 0 0 0,-2 0 0 0 0,-1 0 0 0 0,-2 0 0 0 0,-2 0 0 0 0,-1 0 0 0 0,-3-1 0 0 0,-1 0 0 0 0,-1-1 0 0 0,-1-1 0 0 0,0-1 0 0 0,-1-2 0 0 0,1-1 0 0 0,-1-1 0 0 0,1-1 0 0 0,0-2 0 0 0,0 0 0 0 0,-1-2 0 0 0,1-1 0 0 0,0-1 0 0 0,1-1 0 0 0,1-1 0 0 0,2 1 0 0 0,4 1 0 0 0,2 1 0 0 0,3 1 0 0 0,1 1 0 0 0,1 0 0 0 0,0 0 0 0 0,1 0 0 0 0,0 0 0 0 0,1 0 0 0 0,1 0 0 0 0,2 0 0 0 0,3 1 0 0 0,4 1 0 0 0,4 1 0 0 0,7 1 0 0 0,7 0 0 0 0,6 0 0 0 0,7 0 0 0 0,2-1 0 0 0,1-1 0 0 0,-3-1 0 0 0,-4 0 0 0 0,-4-1 0 0 0,-6 0 0 0 0,-5-1 0 0 0,-4 1 0 0 0,-3 0 0 0 0,-2-1 0 0 0,-1 0 0 0 0,-1 0 0 0 0,-1 1 0 0 0,0-1 0 0 0,-1-1 0 0 0,0-1 0 0 0,1 0 0 0 0,0-1 0 0 0,1-2 0 0 0,3-4 0 0 0,3-3 0 0 0,1-3 0 0 0,1-2 0 0 0,0-1 0 0 0,-2 0 0 0 0,-1 1 0 0 0,-3 1 0 0 0,-1 2 0 0 0,-1 1 0 0 0,-2 0 0 0 0,-1 0 0 0 0,0-2 0 0 0,0-3 0 0 0,-1-3 0 0 0,0-2 0 0 0,0-2 0 0 0,-1 0 0 0 0,0 2 0 0 0,-2 3 0 0 0,-1 3 0 0 0,0 3 0 0 0,-1 3 0 0 0,0 2 0 0 0,0 3 0 0 0,0 1 0 0 0,0 1 0 0 0,0 2 0 0 0,0 4 0 0 0,-1 1 0 0 0,0 4 0 0 0,0 3 0 0 0,-2 4 0 0 0,1 3 0 0 0,0 5 0 0 0,1 4 0 0 0,0 4 0 0 0,1 3 0 0 0,0 4 0 0 0,3 1 0 0 0,1 2 0 0 0,4 2 0 0 0,3-1 0 0 0,2-3 0 0 0,0-3 0 0 0,0-5 0 0 0,-1-5 0 0 0,-1-5 0 0 0,-3-5 0 0 0,-2-3 0 0 0,-1-3 0 0 0,0-2 0 0 0,1-2 0 0 0,-1-1 0 0 0,3-1 0 0 0,3-2 0 0 0,3-2 0 0 0,5-3 0 0 0,4-2 0 0 0,1-2 0 0 0,0-3 0 0 0,-2-1 0 0 0,-1-1 0 0 0,-2 1 0 0 0,-3 1 0 0 0,-2 1 0 0 0,-2 0 0 0 0,-2-2 0 0 0,0-1 0 0 0,0-2 0 0 0,0-1 0 0 0,-1-2 0 0 0,-1-1 0 0 0,0-2 0 0 0,-2 1 0 0 0,-1 2 0 0 0,-2 3 0 0 0,-1 2 0 0 0,-2 3 0 0 0,1 2 0 0 0,-2 1 0 0 0,1 1 0 0 0,0 0 0 0 0,-1 2 0 0 0,1 0 0 0 0,0 1 0 0 0,0 0 0 0 0,0 2 0 0 0,0 2 0 0 0,0 6 0 0 0,0 8 0 0 0,-1 8 0 0 0,0 11 0 0 0,-2 13 0 0 0,-1 11 0 0 0,-1 6 0 0 0,0-2 0 0 0,1-6 0 0 0,-1-11 0 0 0,1-10 0 0 0,0-11 0 0 0,0-7 0 0 0,2-6 0 0 0,0-5 0 0 0,0-2 0 0 0,-1-1 0 0 0,0 0 0 0 0,0-2 0 0 0,-1 0 0 0 0,0 0 0 0 0,1-2 0 0 0,1-2 0 0 0,0-3 0 0 0,2-6 0 0 0,1-6 0 0 0,1-5 0 0 0,2-7 0 0 0,2-4 0 0 0,0-6 0 0 0,2-3 0 0 0,1-2 0 0 0,0 2 0 0 0,1 3 0 0 0,-1 3 0 0 0,2 5 0 0 0,-1 3 0 0 0,1 4 0 0 0,0 4 0 0 0,-2 5 0 0 0,1 4 0 0 0,-2 2 0 0 0,1 3 0 0 0,1 0 0 0 0,1 2 0 0 0,-1 1 0 0 0,0 1 0 0 0,0 2 0 0 0,-2 0 0 0 0,0 2 0 0 0,-2 0 0 0 0,0 0 0 0 0,-2 0 0 0 0,0 0 0 0 0,1 1 0 0 0,0 1 0 0 0,3 1 0 0 0,4 3 0 0 0,3 4 0 0 0,5 7 0 0 0,5 11 0 0 0,5 12 0 0 0,2 12 0 0 0,0 13 0 0 0,-3 8 0 0 0,-6 3 0 0 0,-6-4 0 0 0,-6-8 0 0 0,-5-12 0 0 0,-5-11 0 0 0,-2-10 0 0 0,-2-8 0 0 0,1-7 0 0 0,-1-5 0 0 0,1-4 0 0 0,1-2 0 0 0,0-1 0 0 0,1-1 0 0 0,0 0 0 0 0,0 0 0 0 0,0 0 0 0 0,0 0 0 0 0,0 0 0 0 0,0 1 0 0 0,1 0 0 0 0,-1-1 0 0 0,2-1 0 0 0,1-2 0 0 0,3-2 0 0 0,3-3 0 0 0,5-4 0 0 0,5-3 0 0 0,3-3 0 0 0,3-3 0 0 0,2-2 0 0 0,0-1 0 0 0,1-2 0 0 0,4-3 0 0 0,2-5 0 0 0,2-4 0 0 0,1-3 0 0 0,0-1 0 0 0,-4 2 0 0 0,-4 3 0 0 0,-4 5 0 0 0,-5 5 0 0 0,-4 4 0 0 0,-4 4 0 0 0,-3 2 0 0 0,-1 3 0 0 0,-3 1 0 0 0,0 2 0 0 0,1 0 0 0 0,0 1 0 0 0,3-3 0 0 0,2-3 0 0 0,4-2 0 0 0,2-2 0 0 0,4-1 0 0 0,0 1 0 0 0,-1 1 0 0 0,-3 2 0 0 0,-3 4 0 0 0,-2 2 0 0 0,-4 2 0 0 0,-2 1 0 0 0,-2 1 0 0 0,0 1 0 0 0,-1 0 0 0 0,0 1 0 0 0,1-1 0 0 0,-2 0 0 0 0,-1 1 0 0 0,-4 0 0 0 0,-5 1 0 0 0,-5 3 0 0 0,-6 1 0 0 0,-5 3 0 0 0,-5 3 0 0 0,-2 2 0 0 0,0 2 0 0 0,2 1 0 0 0,4-1 0 0 0,5-1 0 0 0,5-2 0 0 0,3-3 0 0 0,5 0 0 0 0,1-3 0 0 0,3 1 0 0 0,1-1 0 0 0,2 1 0 0 0,3 1 0 0 0,4 1 0 0 0,6 3 0 0 0,5 3 0 0 0,9 3 0 0 0,11 3 0 0 0,14 5 0 0 0,11 4 0 0 0,8 2 0 0 0,0-1 0 0 0,-6-3 0 0 0,-10-4 0 0 0,-11-4 0 0 0,-13-5 0 0 0,-9-3 0 0 0,-8-4 0 0 0,-6-1 0 0 0,-4-1 0 0 0,-1 0 0 0 0,-2 2 0 0 0,1 0 0 0 0,0 3 0 0 0,-2 3 0 0 0,-1 3 0 0 0,-4 5 0 0 0,-4 2 0 0 0,-4 3 0 0 0,-5 0 0 0 0,-6 4 0 0 0,-8 1 0 0 0,-3 0 0 0 0,0-4 0 0 0,1-4 0 0 0,1-5 0 0 0,2-4 0 0 0,2-4 0 0 0,3-4 0 0 0,3-2 0 0 0,4-2 0 0 0,4-1 0 0 0,2 0 0 0 0,4-1 0 0 0,2 0 0 0 0,2 1 0 0 0,1-1 0 0 0,0 1 0 0 0,-1 0 0 0 0,0 0 0 0 0,-2 0 0 0 0,1 0 0 0 0,-2 0 0 0 0,1 0 0 0 0,2 0 0 0 0</inkml:trace>
  <inkml:trace contextRef="#ctx0" brushRef="#br0" timeOffset="-2.14748E7">3275 770 16383 0 0,'0'0'0'0'0</inkml:trace>
</inkml:ink>
</file>

<file path=customXml/itemProps1.xml><?xml version="1.0" encoding="utf-8"?>
<ds:datastoreItem xmlns:ds="http://schemas.openxmlformats.org/officeDocument/2006/customXml" ds:itemID="{5BAA962C-E832-4C3F-BEF0-F9990A567248}"/>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8</Pages>
  <Words>1440</Words>
  <Characters>7402</Characters>
  <CharactersWithSpaces>8620</CharactersWithSpaces>
  <Paragraphs>262</Paragraphs>
  <Company>University of Southampton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2023-03-23T12:46:00Z</dcterms:created>
  <dc:creator>Mccargow A.</dc:creator>
  <dc:description/>
  <dc:language>en-GB</dc:language>
  <cp:lastModifiedBy/>
  <cp:lastPrinted>2016-04-18T12:10:00Z</cp:lastPrinted>
  <dcterms:modified xsi:type="dcterms:W3CDTF">2026-08-08T17:02:53Z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_NewReviewCycle">
    <vt:lpwstr/>
  </property>
</Properties>
</file>