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1FAA1D7" w:rsidR="008A6B6B" w:rsidRPr="009B66AD" w:rsidRDefault="000E78A4" w:rsidP="008A6B6B">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Cs/>
                <w:color w:val="000000" w:themeColor="text1"/>
              </w:rPr>
              <w:t>University of Southampton Bar Society</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22152950" w:rsidR="008A6B6B" w:rsidRPr="009B66AD" w:rsidRDefault="000E78A4" w:rsidP="008A6B6B">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20/03/2026</w:t>
            </w:r>
          </w:p>
        </w:tc>
      </w:tr>
      <w:tr w:rsidR="00E4228F" w:rsidRPr="00CE5B1E" w14:paraId="3C5F0405" w14:textId="77777777" w:rsidTr="000E78A4">
        <w:trPr>
          <w:trHeight w:val="556"/>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5EB3AB42" w:rsidR="00E4228F" w:rsidRPr="000E78A4" w:rsidRDefault="000E78A4" w:rsidP="00E4228F">
            <w:pPr>
              <w:pStyle w:val="ListParagraph"/>
              <w:ind w:left="170"/>
              <w:rPr>
                <w:rFonts w:ascii="Verdana" w:eastAsia="Times New Roman" w:hAnsi="Verdana" w:cs="Times New Roman"/>
                <w:bCs/>
                <w:lang w:eastAsia="en-GB"/>
              </w:rPr>
            </w:pPr>
            <w:r w:rsidRPr="000E78A4">
              <w:rPr>
                <w:rFonts w:ascii="Verdana" w:eastAsia="Times New Roman" w:hAnsi="Verdana" w:cs="Times New Roman"/>
                <w:bCs/>
                <w:lang w:eastAsia="en-GB"/>
              </w:rPr>
              <w:t>Academic society for law students</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2DCE600C" w:rsidR="00E4228F" w:rsidRPr="009B66AD" w:rsidRDefault="000E78A4" w:rsidP="00E4228F">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Cs/>
                <w:color w:val="000000" w:themeColor="text1"/>
              </w:rPr>
              <w:t>Ethan Price</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4DC4D1B8" w:rsidR="00E4228F" w:rsidRPr="000E78A4" w:rsidRDefault="000E78A4" w:rsidP="00E4228F">
            <w:pPr>
              <w:rPr>
                <w:rFonts w:ascii="Verdana" w:eastAsia="Times New Roman" w:hAnsi="Verdana" w:cs="Times New Roman"/>
                <w:bCs/>
                <w:iCs/>
                <w:color w:val="000000" w:themeColor="text1"/>
                <w:lang w:eastAsia="en-GB"/>
              </w:rPr>
            </w:pPr>
            <w:r w:rsidRPr="000E78A4">
              <w:rPr>
                <w:rFonts w:ascii="Verdana" w:eastAsia="Times New Roman" w:hAnsi="Verdana" w:cs="Times New Roman"/>
                <w:bCs/>
                <w:iCs/>
                <w:color w:val="000000" w:themeColor="text1"/>
                <w:lang w:eastAsia="en-GB"/>
              </w:rPr>
              <w:t>Ada Ulusoy</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5359E920" w14:textId="77777777" w:rsidR="008116A2" w:rsidRPr="008116A2" w:rsidRDefault="008116A2" w:rsidP="008116A2">
            <w:pPr>
              <w:rPr>
                <w:rFonts w:ascii="Verdana" w:eastAsia="Times New Roman" w:hAnsi="Verdana" w:cs="Times New Roman"/>
                <w:bCs/>
                <w:i/>
                <w:color w:val="FF0000"/>
                <w:lang w:eastAsia="en-GB"/>
              </w:rPr>
            </w:pPr>
          </w:p>
          <w:p w14:paraId="6EDD3143" w14:textId="08ECC65A" w:rsidR="00B0462D" w:rsidRDefault="000E78A4" w:rsidP="00B0462D">
            <w:pPr>
              <w:pStyle w:val="Standard"/>
              <w:rPr>
                <w:color w:val="FF0000"/>
              </w:rPr>
            </w:pPr>
            <w:r>
              <w:rPr>
                <w:color w:val="FF0000"/>
              </w:rPr>
              <w:t xml:space="preserve">Each year universities form across the country </w:t>
            </w:r>
            <w:proofErr w:type="gramStart"/>
            <w:r>
              <w:rPr>
                <w:color w:val="FF0000"/>
              </w:rPr>
              <w:t>compete</w:t>
            </w:r>
            <w:proofErr w:type="gramEnd"/>
            <w:r>
              <w:rPr>
                <w:color w:val="FF0000"/>
              </w:rPr>
              <w:t xml:space="preserve"> in a “mooting” or mock legal trial competition hosted and organised by the students </w:t>
            </w:r>
            <w:proofErr w:type="gramStart"/>
            <w:r>
              <w:rPr>
                <w:color w:val="FF0000"/>
              </w:rPr>
              <w:t>of</w:t>
            </w:r>
            <w:proofErr w:type="gramEnd"/>
            <w:r>
              <w:rPr>
                <w:color w:val="FF0000"/>
              </w:rPr>
              <w:t xml:space="preserve"> the University of Southampton. The final of this competition is held in the law building in the mock courtroom on our campus.</w:t>
            </w:r>
          </w:p>
          <w:p w14:paraId="38C9DD12" w14:textId="77777777" w:rsidR="000E78A4" w:rsidRDefault="000E78A4" w:rsidP="00B0462D">
            <w:pPr>
              <w:pStyle w:val="Standard"/>
              <w:rPr>
                <w:color w:val="FF0000"/>
              </w:rPr>
            </w:pPr>
          </w:p>
          <w:p w14:paraId="50130CDD" w14:textId="49970DAE" w:rsidR="000E78A4" w:rsidRDefault="000E78A4" w:rsidP="00B0462D">
            <w:pPr>
              <w:pStyle w:val="Standard"/>
              <w:rPr>
                <w:color w:val="FF0000"/>
              </w:rPr>
            </w:pPr>
            <w:r>
              <w:rPr>
                <w:color w:val="FF0000"/>
              </w:rPr>
              <w:t>Breakdown of events:</w:t>
            </w:r>
          </w:p>
          <w:p w14:paraId="44E520C2" w14:textId="77777777" w:rsidR="000E78A4" w:rsidRPr="000E78A4" w:rsidRDefault="000E78A4" w:rsidP="000E78A4">
            <w:pPr>
              <w:pStyle w:val="Standard"/>
              <w:numPr>
                <w:ilvl w:val="0"/>
                <w:numId w:val="17"/>
              </w:numPr>
              <w:rPr>
                <w:color w:val="FF0000"/>
              </w:rPr>
            </w:pPr>
            <w:r w:rsidRPr="000E78A4">
              <w:rPr>
                <w:color w:val="FF0000"/>
              </w:rPr>
              <w:t xml:space="preserve">Attendees </w:t>
            </w:r>
            <w:proofErr w:type="gramStart"/>
            <w:r w:rsidRPr="000E78A4">
              <w:rPr>
                <w:color w:val="FF0000"/>
              </w:rPr>
              <w:t>arrive,</w:t>
            </w:r>
            <w:proofErr w:type="gramEnd"/>
            <w:r w:rsidRPr="000E78A4">
              <w:rPr>
                <w:color w:val="FF0000"/>
              </w:rPr>
              <w:t xml:space="preserve"> we talk to them and let them know how the event will rundown</w:t>
            </w:r>
          </w:p>
          <w:p w14:paraId="25268B45" w14:textId="77777777" w:rsidR="000E78A4" w:rsidRPr="000E78A4" w:rsidRDefault="000E78A4" w:rsidP="000E78A4">
            <w:pPr>
              <w:pStyle w:val="Standard"/>
              <w:numPr>
                <w:ilvl w:val="0"/>
                <w:numId w:val="17"/>
              </w:numPr>
              <w:rPr>
                <w:color w:val="FF0000"/>
              </w:rPr>
            </w:pPr>
            <w:r w:rsidRPr="000E78A4">
              <w:rPr>
                <w:color w:val="FF0000"/>
              </w:rPr>
              <w:t>Different teams go to their rooms for their moots, at least one member of committee always there</w:t>
            </w:r>
          </w:p>
          <w:p w14:paraId="52B992E8" w14:textId="77777777" w:rsidR="000E78A4" w:rsidRPr="000E78A4" w:rsidRDefault="000E78A4" w:rsidP="000E78A4">
            <w:pPr>
              <w:pStyle w:val="Standard"/>
              <w:numPr>
                <w:ilvl w:val="0"/>
                <w:numId w:val="17"/>
              </w:numPr>
              <w:rPr>
                <w:color w:val="FF0000"/>
              </w:rPr>
            </w:pPr>
            <w:r w:rsidRPr="000E78A4">
              <w:rPr>
                <w:color w:val="FF0000"/>
              </w:rPr>
              <w:t>We have a break for lunch</w:t>
            </w:r>
          </w:p>
          <w:p w14:paraId="3445BB01" w14:textId="77777777" w:rsidR="000E78A4" w:rsidRPr="000E78A4" w:rsidRDefault="000E78A4" w:rsidP="000E78A4">
            <w:pPr>
              <w:pStyle w:val="Standard"/>
              <w:numPr>
                <w:ilvl w:val="0"/>
                <w:numId w:val="17"/>
              </w:numPr>
              <w:rPr>
                <w:color w:val="FF0000"/>
              </w:rPr>
            </w:pPr>
            <w:r w:rsidRPr="000E78A4">
              <w:rPr>
                <w:color w:val="FF0000"/>
              </w:rPr>
              <w:t>The winning teams from the previous rounds moot once more</w:t>
            </w:r>
          </w:p>
          <w:p w14:paraId="7223DE57" w14:textId="77777777" w:rsidR="000E78A4" w:rsidRPr="000E78A4" w:rsidRDefault="000E78A4" w:rsidP="000E78A4">
            <w:pPr>
              <w:pStyle w:val="Standard"/>
              <w:numPr>
                <w:ilvl w:val="0"/>
                <w:numId w:val="17"/>
              </w:numPr>
              <w:rPr>
                <w:color w:val="FF0000"/>
              </w:rPr>
            </w:pPr>
            <w:r w:rsidRPr="000E78A4">
              <w:rPr>
                <w:color w:val="FF0000"/>
              </w:rPr>
              <w:t>Those winning teams have a final moot</w:t>
            </w:r>
          </w:p>
          <w:p w14:paraId="7C08B3AD" w14:textId="6515ACA9" w:rsidR="00B0462D" w:rsidRPr="000E78A4" w:rsidRDefault="000E78A4" w:rsidP="000E78A4">
            <w:pPr>
              <w:pStyle w:val="Standard"/>
              <w:numPr>
                <w:ilvl w:val="0"/>
                <w:numId w:val="17"/>
              </w:numPr>
              <w:rPr>
                <w:color w:val="FF0000"/>
              </w:rPr>
            </w:pPr>
            <w:r w:rsidRPr="000E78A4">
              <w:rPr>
                <w:color w:val="FF0000"/>
              </w:rPr>
              <w:t>Everyone is dismissed and committee packs up</w:t>
            </w:r>
          </w:p>
          <w:p w14:paraId="4BA1F519" w14:textId="77777777" w:rsidR="00D24761" w:rsidRPr="000E78A4" w:rsidRDefault="00D24761" w:rsidP="000E78A4">
            <w:pPr>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1"/>
        <w:gridCol w:w="2517"/>
        <w:gridCol w:w="1949"/>
        <w:gridCol w:w="482"/>
        <w:gridCol w:w="482"/>
        <w:gridCol w:w="482"/>
        <w:gridCol w:w="2614"/>
        <w:gridCol w:w="482"/>
        <w:gridCol w:w="482"/>
        <w:gridCol w:w="482"/>
        <w:gridCol w:w="3416"/>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0E78A4">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0E78A4">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0E78A4">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B466FD" w14:paraId="3C5F0443" w14:textId="77777777" w:rsidTr="000E78A4">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5"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0E78A4">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74"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0E78A4">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4"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0E78A4">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74"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xml:space="preserve">) </w:t>
            </w:r>
            <w:r>
              <w:rPr>
                <w:rFonts w:ascii="Calibri" w:eastAsia="Calibri" w:hAnsi="Calibri" w:cs="Calibri"/>
              </w:rPr>
              <w:lastRenderedPageBreak/>
              <w:t>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0E78A4">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4"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0E78A4">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4"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0E78A4">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7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0E78A4">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0E78A4">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0E78A4">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3C5F0467" w14:textId="77777777" w:rsidTr="000E78A4">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t>Moving/setting up equipment</w:t>
            </w:r>
            <w:r w:rsidR="009B312F">
              <w:rPr>
                <w:rFonts w:ascii="Calibri" w:hAnsi="Calibri" w:cs="Calibri"/>
                <w:b/>
                <w:bCs/>
                <w:color w:val="000000"/>
              </w:rPr>
              <w:t>:</w:t>
            </w:r>
          </w:p>
          <w:p w14:paraId="11304142" w14:textId="6F58B333" w:rsidR="00454E9E" w:rsidRDefault="000E78A4" w:rsidP="00454E9E">
            <w:pPr>
              <w:rPr>
                <w:rFonts w:ascii="Calibri" w:hAnsi="Calibri" w:cs="Calibri"/>
                <w:color w:val="000000"/>
              </w:rPr>
            </w:pPr>
            <w:r>
              <w:rPr>
                <w:rFonts w:ascii="Calibri" w:hAnsi="Calibri" w:cs="Calibri"/>
                <w:color w:val="000000"/>
              </w:rPr>
              <w:t>Mooting tables/ lecterns, chairs</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74"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23755B20" w:rsidR="00454E9E" w:rsidRPr="00135E69" w:rsidRDefault="00454E9E" w:rsidP="00454E9E">
            <w:r w:rsidRPr="00135E69">
              <w:t xml:space="preserve">Request tools to aid with the moving of heavy </w:t>
            </w:r>
            <w:r w:rsidRPr="00135E69">
              <w:lastRenderedPageBreak/>
              <w:t>objects – SUSU facilities/venue e.g., hand truck, dolly, skates etc.</w:t>
            </w:r>
            <w:r w:rsidR="000E78A4">
              <w:t xml:space="preserve"> (although this should not be </w:t>
            </w:r>
            <w:proofErr w:type="gramStart"/>
            <w:r w:rsidR="000E78A4">
              <w:t>a</w:t>
            </w:r>
            <w:proofErr w:type="gramEnd"/>
            <w:r w:rsidR="000E78A4">
              <w:t xml:space="preserve"> issue for this mooting event)</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lastRenderedPageBreak/>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895"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lastRenderedPageBreak/>
              <w:t>Any incidents need to be reported as soon as possible ensuring duty manager/health and safety officers have been informed. Follow SUSU incident report policy.</w:t>
            </w:r>
          </w:p>
        </w:tc>
      </w:tr>
      <w:tr w:rsidR="00B466FD" w14:paraId="0321FFAD" w14:textId="77777777" w:rsidTr="000E78A4">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895"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FE97EF8" w14:textId="77777777" w:rsidTr="000E78A4">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74"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895"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5A5164F0" w14:textId="77777777" w:rsidTr="000E78A4">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74"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895"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1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0E78A4">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3380D861" w:rsidR="00D81536" w:rsidRPr="001638F0" w:rsidRDefault="00D81536" w:rsidP="00D81536">
            <w:pPr>
              <w:rPr>
                <w:rFonts w:cstheme="minorHAnsi"/>
              </w:rPr>
            </w:pPr>
            <w:r w:rsidRPr="001638F0">
              <w:rPr>
                <w:rFonts w:cstheme="minorHAnsi"/>
              </w:rPr>
              <w:t xml:space="preserve">Participants may become violent or offensive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74"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AA54EC7" w:rsidR="00D81536" w:rsidRPr="001638F0" w:rsidRDefault="00994216" w:rsidP="00D81536">
            <w:pPr>
              <w:rPr>
                <w:rFonts w:eastAsia="Lucida Sans" w:cstheme="minorHAnsi"/>
                <w:sz w:val="20"/>
                <w:szCs w:val="20"/>
              </w:rPr>
            </w:pPr>
            <w:r>
              <w:rPr>
                <w:rFonts w:eastAsia="Lucida Sans" w:cstheme="minorHAnsi"/>
                <w:sz w:val="20"/>
                <w:szCs w:val="20"/>
              </w:rPr>
              <w:t>1</w:t>
            </w:r>
          </w:p>
        </w:tc>
        <w:tc>
          <w:tcPr>
            <w:tcW w:w="159" w:type="pct"/>
            <w:shd w:val="clear" w:color="auto" w:fill="FFFFFF" w:themeFill="background1"/>
          </w:tcPr>
          <w:p w14:paraId="1761AA48" w14:textId="78AAADED" w:rsidR="00D81536" w:rsidRPr="001638F0" w:rsidRDefault="00994216" w:rsidP="00D81536">
            <w:pPr>
              <w:rPr>
                <w:rFonts w:eastAsia="Lucida Sans" w:cstheme="minorHAnsi"/>
                <w:sz w:val="20"/>
                <w:szCs w:val="20"/>
              </w:rPr>
            </w:pPr>
            <w:r>
              <w:rPr>
                <w:rFonts w:eastAsia="Lucida Sans" w:cstheme="minorHAnsi"/>
                <w:sz w:val="20"/>
                <w:szCs w:val="20"/>
              </w:rPr>
              <w:t>3</w:t>
            </w:r>
          </w:p>
        </w:tc>
        <w:tc>
          <w:tcPr>
            <w:tcW w:w="159" w:type="pct"/>
            <w:shd w:val="clear" w:color="auto" w:fill="FFFFFF" w:themeFill="background1"/>
          </w:tcPr>
          <w:p w14:paraId="18CE3FEF" w14:textId="13585039" w:rsidR="00D81536" w:rsidRPr="001638F0" w:rsidRDefault="00994216" w:rsidP="00D81536">
            <w:pPr>
              <w:rPr>
                <w:rFonts w:eastAsia="Lucida Sans" w:cstheme="minorHAnsi"/>
                <w:sz w:val="20"/>
                <w:szCs w:val="20"/>
              </w:rPr>
            </w:pPr>
            <w:r>
              <w:rPr>
                <w:rFonts w:eastAsia="Lucida Sans" w:cstheme="minorHAnsi"/>
                <w:sz w:val="20"/>
                <w:szCs w:val="20"/>
              </w:rPr>
              <w:t>5</w:t>
            </w:r>
          </w:p>
        </w:tc>
        <w:tc>
          <w:tcPr>
            <w:tcW w:w="947" w:type="pct"/>
            <w:shd w:val="clear" w:color="auto" w:fill="FFFFFF" w:themeFill="background1"/>
          </w:tcPr>
          <w:p w14:paraId="3B777B02" w14:textId="5B436266" w:rsidR="00D81536" w:rsidRPr="001638F0" w:rsidRDefault="00994216" w:rsidP="00D81536">
            <w:pPr>
              <w:rPr>
                <w:rFonts w:eastAsia="Calibri" w:cstheme="minorHAnsi"/>
              </w:rPr>
            </w:pPr>
            <w:r>
              <w:rPr>
                <w:rFonts w:eastAsia="Calibri" w:cstheme="minorHAnsi"/>
              </w:rPr>
              <w:t xml:space="preserve">Members will be encouraged to handle grievances and high emotions </w:t>
            </w:r>
            <w:proofErr w:type="gramStart"/>
            <w:r>
              <w:rPr>
                <w:rFonts w:eastAsia="Calibri" w:cstheme="minorHAnsi"/>
              </w:rPr>
              <w:t>as a result of</w:t>
            </w:r>
            <w:proofErr w:type="gramEnd"/>
            <w:r>
              <w:rPr>
                <w:rFonts w:eastAsia="Calibri" w:cstheme="minorHAnsi"/>
              </w:rPr>
              <w:t xml:space="preserve"> the competition constructively.</w:t>
            </w:r>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895"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1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0E78A4">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4"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895"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38498EB8" w14:textId="77777777" w:rsidTr="000E78A4">
        <w:trPr>
          <w:cantSplit/>
          <w:trHeight w:val="1296"/>
        </w:trPr>
        <w:tc>
          <w:tcPr>
            <w:tcW w:w="658" w:type="pct"/>
            <w:shd w:val="clear" w:color="auto" w:fill="FFFFFF" w:themeFill="background1"/>
          </w:tcPr>
          <w:p w14:paraId="744CF36B" w14:textId="77777777" w:rsidR="00D81536" w:rsidRPr="000C5F10" w:rsidRDefault="00D81536" w:rsidP="00D81536">
            <w:pPr>
              <w:rPr>
                <w:rFonts w:cstheme="minorHAnsi"/>
                <w:b/>
                <w:bCs/>
                <w:color w:val="000000"/>
              </w:rPr>
            </w:pPr>
            <w:r w:rsidRPr="000C5F10">
              <w:rPr>
                <w:rFonts w:cstheme="minorHAnsi"/>
                <w:b/>
                <w:bCs/>
                <w:color w:val="000000"/>
              </w:rPr>
              <w:lastRenderedPageBreak/>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6045D2AC" w:rsidR="00D81536" w:rsidRPr="0059562A" w:rsidRDefault="00D81536" w:rsidP="00D81536">
            <w:pPr>
              <w:rPr>
                <w:rFonts w:eastAsia="Calibri" w:cstheme="minorHAnsi"/>
                <w:color w:val="000000"/>
              </w:rPr>
            </w:pPr>
            <w:r w:rsidRPr="0059562A">
              <w:rPr>
                <w:rFonts w:cstheme="minorHAnsi"/>
              </w:rPr>
              <w:t xml:space="preserve">Allergic reactions to food and drink </w:t>
            </w:r>
            <w:r w:rsidR="000E78A4">
              <w:rPr>
                <w:rFonts w:cstheme="minorHAnsi"/>
              </w:rPr>
              <w:t>provided at the event</w:t>
            </w:r>
          </w:p>
        </w:tc>
        <w:tc>
          <w:tcPr>
            <w:tcW w:w="674"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682739D9" w:rsidR="00D81536" w:rsidRDefault="00D81536" w:rsidP="00D81536">
            <w:pPr>
              <w:pStyle w:val="NoSpacing"/>
              <w:rPr>
                <w:rFonts w:cstheme="minorHAnsi"/>
              </w:rPr>
            </w:pPr>
            <w:r w:rsidRPr="0059562A">
              <w:rPr>
                <w:rFonts w:cstheme="minorHAnsi"/>
              </w:rPr>
              <w:t xml:space="preserve">First aid requested from </w:t>
            </w:r>
            <w:r w:rsidR="00987AF8">
              <w:rPr>
                <w:rFonts w:cstheme="minorHAnsi"/>
              </w:rPr>
              <w:t xml:space="preserve">university </w:t>
            </w:r>
            <w:r w:rsidRPr="0059562A">
              <w:rPr>
                <w:rFonts w:cstheme="minorHAnsi"/>
              </w:rPr>
              <w:t>staff as required</w:t>
            </w:r>
            <w:r>
              <w:rPr>
                <w:rFonts w:cstheme="minorHAnsi"/>
              </w:rPr>
              <w:t>.</w:t>
            </w:r>
          </w:p>
          <w:p w14:paraId="655E3631" w14:textId="77777777" w:rsidR="000E78A4" w:rsidRDefault="000E78A4" w:rsidP="00D81536">
            <w:pPr>
              <w:pStyle w:val="NoSpacing"/>
              <w:rPr>
                <w:rFonts w:cstheme="minorHAnsi"/>
              </w:rPr>
            </w:pPr>
          </w:p>
          <w:p w14:paraId="616C232B" w14:textId="50655CCE" w:rsidR="000E78A4" w:rsidRPr="0059562A" w:rsidRDefault="000E78A4" w:rsidP="00D81536">
            <w:pPr>
              <w:pStyle w:val="NoSpacing"/>
              <w:rPr>
                <w:rFonts w:cstheme="minorHAnsi"/>
              </w:rPr>
            </w:pPr>
            <w:r>
              <w:rPr>
                <w:rFonts w:cstheme="minorHAnsi"/>
              </w:rPr>
              <w:t>Allergen</w:t>
            </w:r>
            <w:r w:rsidR="00987AF8">
              <w:rPr>
                <w:rFonts w:cstheme="minorHAnsi"/>
              </w:rPr>
              <w:t xml:space="preserve"> forms</w:t>
            </w:r>
            <w:r>
              <w:rPr>
                <w:rFonts w:cstheme="minorHAnsi"/>
              </w:rPr>
              <w:t xml:space="preserve"> have </w:t>
            </w:r>
            <w:r w:rsidR="00987AF8">
              <w:rPr>
                <w:rFonts w:cstheme="minorHAnsi"/>
              </w:rPr>
              <w:t>been</w:t>
            </w:r>
            <w:r>
              <w:rPr>
                <w:rFonts w:cstheme="minorHAnsi"/>
              </w:rPr>
              <w:t xml:space="preserve"> requested from </w:t>
            </w:r>
            <w:r w:rsidR="00987AF8">
              <w:rPr>
                <w:rFonts w:cstheme="minorHAnsi"/>
              </w:rPr>
              <w:t>attendees,</w:t>
            </w:r>
            <w:r>
              <w:rPr>
                <w:rFonts w:cstheme="minorHAnsi"/>
              </w:rPr>
              <w:t xml:space="preserve"> and these have also been taken into consideration. Information regarding food</w:t>
            </w:r>
            <w:r w:rsidR="00987AF8">
              <w:rPr>
                <w:rFonts w:cstheme="minorHAnsi"/>
              </w:rPr>
              <w:t xml:space="preserve"> allergens</w:t>
            </w:r>
            <w:r>
              <w:rPr>
                <w:rFonts w:cstheme="minorHAnsi"/>
              </w:rPr>
              <w:t xml:space="preserve"> has been made clear.</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895" w:type="pct"/>
            <w:shd w:val="clear" w:color="auto" w:fill="FFFFFF" w:themeFill="background1"/>
          </w:tcPr>
          <w:p w14:paraId="5143FCE4" w14:textId="33160F36" w:rsidR="00D81536" w:rsidRPr="0059562A" w:rsidRDefault="00D81536" w:rsidP="00D81536">
            <w:pPr>
              <w:rPr>
                <w:rFonts w:eastAsia="Calibri" w:cstheme="minorHAnsi"/>
                <w:color w:val="000000"/>
              </w:rPr>
            </w:pPr>
            <w:r w:rsidRPr="0059562A">
              <w:rPr>
                <w:rFonts w:cstheme="minorHAnsi"/>
              </w:rPr>
              <w:t xml:space="preserve">Call Emergency Services/alert </w:t>
            </w:r>
            <w:r w:rsidR="00987AF8">
              <w:rPr>
                <w:rFonts w:cstheme="minorHAnsi"/>
              </w:rPr>
              <w:t>university security</w:t>
            </w:r>
            <w:r w:rsidRPr="0059562A">
              <w:rPr>
                <w:rFonts w:cstheme="minorHAnsi"/>
              </w:rPr>
              <w:t xml:space="preserve"> staff </w:t>
            </w:r>
          </w:p>
        </w:tc>
      </w:tr>
      <w:tr w:rsidR="000E78A4" w14:paraId="2A17DB09" w14:textId="77777777" w:rsidTr="000E78A4">
        <w:trPr>
          <w:cantSplit/>
          <w:trHeight w:val="1296"/>
        </w:trPr>
        <w:tc>
          <w:tcPr>
            <w:tcW w:w="658" w:type="pct"/>
            <w:shd w:val="clear" w:color="auto" w:fill="FFFFFF" w:themeFill="background1"/>
          </w:tcPr>
          <w:p w14:paraId="61C37F03" w14:textId="60D14F4D" w:rsidR="000E78A4" w:rsidRPr="000C5F10" w:rsidRDefault="000E78A4" w:rsidP="000E78A4">
            <w:pPr>
              <w:rPr>
                <w:rFonts w:cstheme="minorHAnsi"/>
                <w:b/>
                <w:bCs/>
                <w:color w:val="000000"/>
              </w:rPr>
            </w:pPr>
            <w:r w:rsidRPr="000C5F10">
              <w:rPr>
                <w:b/>
                <w:bCs/>
              </w:rPr>
              <w:lastRenderedPageBreak/>
              <w:t xml:space="preserve">Counter protest, discrimination against the demonstration </w:t>
            </w:r>
          </w:p>
        </w:tc>
        <w:tc>
          <w:tcPr>
            <w:tcW w:w="872" w:type="pct"/>
            <w:shd w:val="clear" w:color="auto" w:fill="FFFFFF" w:themeFill="background1"/>
          </w:tcPr>
          <w:p w14:paraId="23EC751A" w14:textId="58DC251F" w:rsidR="000E78A4" w:rsidRPr="0059562A" w:rsidRDefault="000E78A4" w:rsidP="000E78A4">
            <w:pPr>
              <w:rPr>
                <w:rFonts w:cstheme="minorHAnsi"/>
              </w:rPr>
            </w:pPr>
            <w:r w:rsidRPr="00C335BD">
              <w:t xml:space="preserve">Assault, Violence or </w:t>
            </w:r>
            <w:r>
              <w:t xml:space="preserve">threatening/ </w:t>
            </w:r>
            <w:r w:rsidRPr="00C335BD">
              <w:t>Aggressive Behaviour</w:t>
            </w:r>
          </w:p>
        </w:tc>
        <w:tc>
          <w:tcPr>
            <w:tcW w:w="674" w:type="pct"/>
            <w:shd w:val="clear" w:color="auto" w:fill="FFFFFF" w:themeFill="background1"/>
          </w:tcPr>
          <w:p w14:paraId="41552636" w14:textId="10890289" w:rsidR="000E78A4" w:rsidRPr="0059562A" w:rsidRDefault="000E78A4" w:rsidP="000E78A4">
            <w:pPr>
              <w:rPr>
                <w:rFonts w:cstheme="minorHAnsi"/>
              </w:rPr>
            </w:pPr>
            <w:r>
              <w:t xml:space="preserve">Event organisers and attendees </w:t>
            </w:r>
          </w:p>
        </w:tc>
        <w:tc>
          <w:tcPr>
            <w:tcW w:w="159" w:type="pct"/>
            <w:shd w:val="clear" w:color="auto" w:fill="FFFFFF" w:themeFill="background1"/>
          </w:tcPr>
          <w:p w14:paraId="7AA7AF32" w14:textId="7333074D" w:rsidR="000E78A4" w:rsidRPr="0059562A" w:rsidRDefault="000E78A4" w:rsidP="000E78A4">
            <w:pPr>
              <w:rPr>
                <w:rFonts w:cstheme="minorHAnsi"/>
              </w:rPr>
            </w:pPr>
            <w:r w:rsidRPr="00C335BD">
              <w:rPr>
                <w:b/>
              </w:rPr>
              <w:t>2</w:t>
            </w:r>
          </w:p>
        </w:tc>
        <w:tc>
          <w:tcPr>
            <w:tcW w:w="159" w:type="pct"/>
            <w:shd w:val="clear" w:color="auto" w:fill="FFFFFF" w:themeFill="background1"/>
          </w:tcPr>
          <w:p w14:paraId="0DF8F93E" w14:textId="07AC0465" w:rsidR="000E78A4" w:rsidRPr="0059562A" w:rsidRDefault="000E78A4" w:rsidP="000E78A4">
            <w:pPr>
              <w:rPr>
                <w:rFonts w:cstheme="minorHAnsi"/>
              </w:rPr>
            </w:pPr>
            <w:r>
              <w:rPr>
                <w:b/>
              </w:rPr>
              <w:t>4</w:t>
            </w:r>
          </w:p>
        </w:tc>
        <w:tc>
          <w:tcPr>
            <w:tcW w:w="159" w:type="pct"/>
            <w:shd w:val="clear" w:color="auto" w:fill="FFFFFF" w:themeFill="background1"/>
          </w:tcPr>
          <w:p w14:paraId="237E7E8A" w14:textId="6D314E10" w:rsidR="000E78A4" w:rsidRPr="0059562A" w:rsidRDefault="000E78A4" w:rsidP="000E78A4">
            <w:pPr>
              <w:rPr>
                <w:rFonts w:cstheme="minorHAnsi"/>
              </w:rPr>
            </w:pPr>
            <w:r>
              <w:rPr>
                <w:b/>
              </w:rPr>
              <w:t>8</w:t>
            </w:r>
          </w:p>
        </w:tc>
        <w:tc>
          <w:tcPr>
            <w:tcW w:w="947" w:type="pct"/>
            <w:shd w:val="clear" w:color="auto" w:fill="FFFFFF" w:themeFill="background1"/>
          </w:tcPr>
          <w:p w14:paraId="178C9E92" w14:textId="77777777" w:rsidR="000E78A4" w:rsidRDefault="000E78A4" w:rsidP="000E78A4">
            <w:pPr>
              <w:pStyle w:val="NoSpacing"/>
              <w:numPr>
                <w:ilvl w:val="0"/>
                <w:numId w:val="18"/>
              </w:numPr>
              <w:ind w:left="360"/>
            </w:pPr>
            <w:r>
              <w:rPr>
                <w:rFonts w:cstheme="minorHAnsi"/>
              </w:rPr>
              <w:t>Event planned for Highfield campus- a route well signposted and known for students</w:t>
            </w:r>
            <w:r>
              <w:t xml:space="preserve"> </w:t>
            </w:r>
          </w:p>
          <w:p w14:paraId="08AC09F4" w14:textId="77777777" w:rsidR="000E78A4" w:rsidRDefault="000E78A4" w:rsidP="000E78A4">
            <w:pPr>
              <w:pStyle w:val="NoSpacing"/>
              <w:numPr>
                <w:ilvl w:val="0"/>
                <w:numId w:val="18"/>
              </w:numPr>
              <w:ind w:left="360"/>
            </w:pPr>
            <w: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4B0690FC" w14:textId="77777777" w:rsidR="000E78A4" w:rsidRDefault="000E78A4" w:rsidP="000E78A4">
            <w:pPr>
              <w:pStyle w:val="NoSpacing"/>
              <w:numPr>
                <w:ilvl w:val="0"/>
                <w:numId w:val="18"/>
              </w:numPr>
              <w:ind w:left="360"/>
            </w:pPr>
            <w:r>
              <w:t xml:space="preserve">Prior information about event and what to expect given out so participants know what to expect via Facebook/social media posts </w:t>
            </w:r>
          </w:p>
          <w:p w14:paraId="55F4E7FD" w14:textId="77777777" w:rsidR="000E78A4" w:rsidRPr="002B165D" w:rsidRDefault="000E78A4" w:rsidP="000E78A4">
            <w:pPr>
              <w:pStyle w:val="NoSpacing"/>
              <w:numPr>
                <w:ilvl w:val="0"/>
                <w:numId w:val="18"/>
              </w:numPr>
              <w:ind w:left="360"/>
            </w:pPr>
            <w:r>
              <w:t xml:space="preserve">Participants made aware they could join and leave the event at any time.  </w:t>
            </w:r>
          </w:p>
          <w:p w14:paraId="46C944C1" w14:textId="18A75C31" w:rsidR="000E78A4" w:rsidRPr="000C5F10" w:rsidRDefault="000E78A4" w:rsidP="000E78A4">
            <w:pPr>
              <w:pStyle w:val="NoSpacing"/>
              <w:numPr>
                <w:ilvl w:val="0"/>
                <w:numId w:val="18"/>
              </w:numPr>
              <w:ind w:left="360"/>
            </w:pPr>
            <w:r>
              <w:t xml:space="preserve">Ensure that people are aware that this is an open space for discussion to discourage protest. </w:t>
            </w:r>
          </w:p>
        </w:tc>
        <w:tc>
          <w:tcPr>
            <w:tcW w:w="159" w:type="pct"/>
            <w:shd w:val="clear" w:color="auto" w:fill="FFFFFF" w:themeFill="background1"/>
          </w:tcPr>
          <w:p w14:paraId="325F8B0A" w14:textId="2E743E7A" w:rsidR="000E78A4" w:rsidRPr="0059562A" w:rsidRDefault="000E78A4" w:rsidP="000E78A4">
            <w:pPr>
              <w:rPr>
                <w:rFonts w:cstheme="minorHAnsi"/>
              </w:rPr>
            </w:pPr>
            <w:r w:rsidRPr="00C335BD">
              <w:rPr>
                <w:b/>
              </w:rPr>
              <w:t>1</w:t>
            </w:r>
          </w:p>
        </w:tc>
        <w:tc>
          <w:tcPr>
            <w:tcW w:w="159" w:type="pct"/>
            <w:shd w:val="clear" w:color="auto" w:fill="FFFFFF" w:themeFill="background1"/>
          </w:tcPr>
          <w:p w14:paraId="1665B9D4" w14:textId="3C8DA7EF" w:rsidR="000E78A4" w:rsidRPr="0059562A" w:rsidRDefault="000E78A4" w:rsidP="000E78A4">
            <w:pPr>
              <w:rPr>
                <w:rFonts w:cstheme="minorHAnsi"/>
              </w:rPr>
            </w:pPr>
            <w:r w:rsidRPr="00C335BD">
              <w:rPr>
                <w:b/>
              </w:rPr>
              <w:t>4</w:t>
            </w:r>
          </w:p>
        </w:tc>
        <w:tc>
          <w:tcPr>
            <w:tcW w:w="159" w:type="pct"/>
            <w:shd w:val="clear" w:color="auto" w:fill="FFFFFF" w:themeFill="background1"/>
          </w:tcPr>
          <w:p w14:paraId="5796C086" w14:textId="21705EF5" w:rsidR="000E78A4" w:rsidRPr="0059562A" w:rsidRDefault="000E78A4" w:rsidP="000E78A4">
            <w:pPr>
              <w:rPr>
                <w:rFonts w:cstheme="minorHAnsi"/>
              </w:rPr>
            </w:pPr>
            <w:r w:rsidRPr="00C335BD">
              <w:rPr>
                <w:b/>
              </w:rPr>
              <w:t>4</w:t>
            </w:r>
          </w:p>
        </w:tc>
        <w:tc>
          <w:tcPr>
            <w:tcW w:w="895" w:type="pct"/>
            <w:shd w:val="clear" w:color="auto" w:fill="FFFFFF" w:themeFill="background1"/>
          </w:tcPr>
          <w:p w14:paraId="6EF79C64" w14:textId="77777777" w:rsidR="000E78A4" w:rsidRDefault="000E78A4" w:rsidP="000E78A4">
            <w:pPr>
              <w:pStyle w:val="NoSpacing"/>
              <w:numPr>
                <w:ilvl w:val="0"/>
                <w:numId w:val="19"/>
              </w:numPr>
              <w:ind w:left="360"/>
            </w:pPr>
            <w:r>
              <w:t>Event organisers to call University Security if necessary.</w:t>
            </w:r>
          </w:p>
          <w:p w14:paraId="2C379BCB" w14:textId="77777777" w:rsidR="000E78A4" w:rsidRDefault="000E78A4" w:rsidP="000E78A4">
            <w:pPr>
              <w:pStyle w:val="ListParagraph"/>
              <w:numPr>
                <w:ilvl w:val="0"/>
                <w:numId w:val="19"/>
              </w:numPr>
              <w:ind w:left="360"/>
            </w:pPr>
            <w:r>
              <w:t>Emergency contact number for Campus Security:</w:t>
            </w:r>
            <w:r>
              <w:br/>
              <w:t>Tel: +44 (0)23 8059 3311</w:t>
            </w:r>
          </w:p>
          <w:p w14:paraId="6C609123" w14:textId="77777777" w:rsidR="000E78A4" w:rsidRDefault="000E78A4" w:rsidP="000E78A4">
            <w:pPr>
              <w:pStyle w:val="ListParagraph"/>
              <w:numPr>
                <w:ilvl w:val="0"/>
                <w:numId w:val="19"/>
              </w:numPr>
              <w:ind w:left="360"/>
            </w:pPr>
            <w:r>
              <w:t xml:space="preserve">(Ext: 3311) </w:t>
            </w:r>
          </w:p>
          <w:p w14:paraId="4FACD61D" w14:textId="77777777" w:rsidR="000E78A4" w:rsidRDefault="000E78A4" w:rsidP="000E78A4">
            <w:pPr>
              <w:pStyle w:val="ListParagraph"/>
              <w:numPr>
                <w:ilvl w:val="0"/>
                <w:numId w:val="19"/>
              </w:numPr>
              <w:ind w:left="360"/>
            </w:pPr>
            <w:r>
              <w:t xml:space="preserve">Building 32, University Road Highfield Campus. </w:t>
            </w:r>
          </w:p>
          <w:p w14:paraId="349EEDAE" w14:textId="77777777" w:rsidR="000E78A4" w:rsidRDefault="000E78A4" w:rsidP="000E78A4">
            <w:pPr>
              <w:rPr>
                <w:rFonts w:ascii="Arial" w:hAnsi="Arial" w:cs="Arial"/>
                <w:sz w:val="20"/>
              </w:rPr>
            </w:pPr>
          </w:p>
          <w:p w14:paraId="5010E934" w14:textId="77777777" w:rsidR="000E78A4" w:rsidRDefault="000E78A4" w:rsidP="000E78A4">
            <w:pPr>
              <w:pStyle w:val="NoSpacing"/>
              <w:numPr>
                <w:ilvl w:val="0"/>
                <w:numId w:val="19"/>
              </w:numPr>
              <w:ind w:left="360"/>
            </w:pPr>
            <w:r w:rsidRPr="00C335BD">
              <w:t>An</w:t>
            </w:r>
            <w:r>
              <w:t xml:space="preserve">y incidents will be reported via </w:t>
            </w:r>
            <w:proofErr w:type="spellStart"/>
            <w:r>
              <w:t>UoS</w:t>
            </w:r>
            <w:proofErr w:type="spellEnd"/>
            <w:r>
              <w:t xml:space="preserve"> reporting tools </w:t>
            </w:r>
          </w:p>
          <w:p w14:paraId="33CF4430" w14:textId="77777777" w:rsidR="000E78A4" w:rsidRDefault="000E78A4" w:rsidP="000E78A4">
            <w:pPr>
              <w:pStyle w:val="NoSpacing"/>
              <w:numPr>
                <w:ilvl w:val="0"/>
                <w:numId w:val="19"/>
              </w:numPr>
              <w:ind w:left="360"/>
            </w:pPr>
            <w:r>
              <w:t xml:space="preserve">Contact emergency services if needed </w:t>
            </w:r>
          </w:p>
          <w:p w14:paraId="3177A62D" w14:textId="77777777" w:rsidR="000E78A4" w:rsidRDefault="000E78A4" w:rsidP="000E78A4">
            <w:pPr>
              <w:pStyle w:val="ListParagraph"/>
              <w:numPr>
                <w:ilvl w:val="0"/>
                <w:numId w:val="19"/>
              </w:numPr>
              <w:ind w:left="360"/>
            </w:pPr>
            <w:r>
              <w:t xml:space="preserve">Organisers will, following the event, share relevant information on support/signpost via social media channels etc. </w:t>
            </w:r>
          </w:p>
          <w:p w14:paraId="4D64AB99" w14:textId="77777777" w:rsidR="000E78A4" w:rsidRPr="0059562A" w:rsidRDefault="000E78A4" w:rsidP="000E78A4">
            <w:pPr>
              <w:rPr>
                <w:rFonts w:cstheme="minorHAnsi"/>
              </w:rPr>
            </w:pPr>
          </w:p>
        </w:tc>
      </w:tr>
      <w:tr w:rsidR="000E78A4" w14:paraId="60FF9C5E" w14:textId="77777777" w:rsidTr="000E78A4">
        <w:trPr>
          <w:cantSplit/>
          <w:trHeight w:val="1296"/>
        </w:trPr>
        <w:tc>
          <w:tcPr>
            <w:tcW w:w="658" w:type="pct"/>
            <w:shd w:val="clear" w:color="auto" w:fill="FFFFFF" w:themeFill="background1"/>
          </w:tcPr>
          <w:p w14:paraId="03222A72" w14:textId="77777777" w:rsidR="000E78A4" w:rsidRPr="000C5F10" w:rsidRDefault="000E78A4" w:rsidP="000E78A4">
            <w:pPr>
              <w:rPr>
                <w:rFonts w:ascii="Calibri" w:eastAsia="Calibri" w:hAnsi="Calibri" w:cs="Calibri"/>
                <w:b/>
                <w:bCs/>
                <w:color w:val="000000" w:themeColor="text1"/>
              </w:rPr>
            </w:pPr>
            <w:r w:rsidRPr="000C5F10">
              <w:rPr>
                <w:rFonts w:ascii="Calibri" w:eastAsia="Calibri" w:hAnsi="Calibri" w:cs="Calibri"/>
                <w:b/>
                <w:bCs/>
                <w:color w:val="000000" w:themeColor="text1"/>
              </w:rPr>
              <w:lastRenderedPageBreak/>
              <w:t>Talks/debates</w:t>
            </w:r>
          </w:p>
          <w:p w14:paraId="5CB8FEE1" w14:textId="50C2FA7B" w:rsidR="000E78A4" w:rsidRDefault="000E78A4" w:rsidP="000E78A4">
            <w:r w:rsidRPr="000C5F10">
              <w:rPr>
                <w:rFonts w:ascii="Calibri" w:eastAsia="Calibri" w:hAnsi="Calibri" w:cs="Calibri"/>
                <w:b/>
                <w:bCs/>
                <w:color w:val="000000" w:themeColor="text1"/>
              </w:rPr>
              <w:t>- subjects that could be sensitive or personal to some members</w:t>
            </w:r>
            <w:r w:rsidRPr="3EF42A65">
              <w:rPr>
                <w:rFonts w:ascii="Calibri" w:eastAsia="Calibri" w:hAnsi="Calibri" w:cs="Calibri"/>
                <w:color w:val="000000" w:themeColor="text1"/>
              </w:rPr>
              <w:t xml:space="preserve"> </w:t>
            </w:r>
          </w:p>
        </w:tc>
        <w:tc>
          <w:tcPr>
            <w:tcW w:w="872" w:type="pct"/>
            <w:shd w:val="clear" w:color="auto" w:fill="FFFFFF" w:themeFill="background1"/>
          </w:tcPr>
          <w:p w14:paraId="4016E2D1" w14:textId="63101AD3" w:rsidR="000E78A4" w:rsidRPr="00C335BD" w:rsidRDefault="000E78A4" w:rsidP="000E78A4">
            <w:r w:rsidRPr="3EF42A65">
              <w:rPr>
                <w:rFonts w:ascii="Calibri" w:eastAsia="Calibri" w:hAnsi="Calibri" w:cs="Calibri"/>
                <w:color w:val="000000" w:themeColor="text1"/>
              </w:rPr>
              <w:t>The audience feels negative emotions around the topic or becomes distressed by images or events shown/discussed.</w:t>
            </w:r>
          </w:p>
        </w:tc>
        <w:tc>
          <w:tcPr>
            <w:tcW w:w="674" w:type="pct"/>
            <w:shd w:val="clear" w:color="auto" w:fill="FFFFFF" w:themeFill="background1"/>
          </w:tcPr>
          <w:p w14:paraId="4908470A" w14:textId="7BE1EED5" w:rsidR="000E78A4" w:rsidRDefault="000E78A4" w:rsidP="000E78A4">
            <w:r w:rsidRPr="3EF42A65">
              <w:rPr>
                <w:rFonts w:ascii="Calibri" w:eastAsia="Calibri" w:hAnsi="Calibri" w:cs="Calibri"/>
                <w:color w:val="000000" w:themeColor="text1"/>
              </w:rPr>
              <w:t xml:space="preserve">Members </w:t>
            </w:r>
          </w:p>
        </w:tc>
        <w:tc>
          <w:tcPr>
            <w:tcW w:w="159" w:type="pct"/>
            <w:shd w:val="clear" w:color="auto" w:fill="FFFFFF" w:themeFill="background1"/>
          </w:tcPr>
          <w:p w14:paraId="5D9A1FAD" w14:textId="25946DF2" w:rsidR="000E78A4" w:rsidRPr="00C335BD" w:rsidRDefault="000E78A4" w:rsidP="000E78A4">
            <w:pPr>
              <w:rPr>
                <w:b/>
              </w:rPr>
            </w:pPr>
            <w:r w:rsidRPr="3EF42A65">
              <w:rPr>
                <w:rFonts w:ascii="Calibri" w:eastAsia="Calibri" w:hAnsi="Calibri" w:cs="Calibri"/>
                <w:b/>
                <w:bCs/>
                <w:color w:val="000000" w:themeColor="text1"/>
              </w:rPr>
              <w:t>2</w:t>
            </w:r>
          </w:p>
        </w:tc>
        <w:tc>
          <w:tcPr>
            <w:tcW w:w="159" w:type="pct"/>
            <w:shd w:val="clear" w:color="auto" w:fill="FFFFFF" w:themeFill="background1"/>
          </w:tcPr>
          <w:p w14:paraId="7CBE0FE7" w14:textId="4A4AAD76" w:rsidR="000E78A4" w:rsidRDefault="000E78A4" w:rsidP="000E78A4">
            <w:pPr>
              <w:rPr>
                <w:b/>
              </w:rPr>
            </w:pPr>
            <w:r w:rsidRPr="3EF42A65">
              <w:rPr>
                <w:rFonts w:ascii="Calibri" w:eastAsia="Calibri" w:hAnsi="Calibri" w:cs="Calibri"/>
                <w:b/>
                <w:bCs/>
                <w:color w:val="000000" w:themeColor="text1"/>
              </w:rPr>
              <w:t>3</w:t>
            </w:r>
          </w:p>
        </w:tc>
        <w:tc>
          <w:tcPr>
            <w:tcW w:w="159" w:type="pct"/>
            <w:shd w:val="clear" w:color="auto" w:fill="FFFFFF" w:themeFill="background1"/>
          </w:tcPr>
          <w:p w14:paraId="22750BE1" w14:textId="2DED6BD3" w:rsidR="000E78A4" w:rsidRDefault="000E78A4" w:rsidP="000E78A4">
            <w:pPr>
              <w:rPr>
                <w:b/>
              </w:rPr>
            </w:pPr>
            <w:r w:rsidRPr="3EF42A65">
              <w:rPr>
                <w:rFonts w:ascii="Calibri" w:eastAsia="Calibri" w:hAnsi="Calibri" w:cs="Calibri"/>
                <w:b/>
                <w:bCs/>
                <w:color w:val="000000" w:themeColor="text1"/>
              </w:rPr>
              <w:t>6</w:t>
            </w:r>
          </w:p>
        </w:tc>
        <w:tc>
          <w:tcPr>
            <w:tcW w:w="947" w:type="pct"/>
            <w:shd w:val="clear" w:color="auto" w:fill="FFFFFF" w:themeFill="background1"/>
          </w:tcPr>
          <w:p w14:paraId="084E3CF8" w14:textId="77777777" w:rsidR="000E78A4" w:rsidRDefault="000E78A4" w:rsidP="000E78A4">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Prior information about event and what to expect given out so participants know what to expect.</w:t>
            </w:r>
          </w:p>
          <w:p w14:paraId="3C85BC3A" w14:textId="77777777" w:rsidR="000E78A4" w:rsidRDefault="000E78A4" w:rsidP="000E78A4">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 xml:space="preserve">Members made aware they could leave the event at any time.  </w:t>
            </w:r>
          </w:p>
          <w:p w14:paraId="7192D782" w14:textId="77777777" w:rsidR="000E78A4" w:rsidRDefault="000E78A4" w:rsidP="000E78A4">
            <w:pPr>
              <w:pStyle w:val="NoSpacing"/>
              <w:ind w:left="485"/>
              <w:rPr>
                <w:rFonts w:ascii="Calibri" w:eastAsia="Calibri" w:hAnsi="Calibri" w:cs="Calibri"/>
                <w:color w:val="000000" w:themeColor="text1"/>
              </w:rPr>
            </w:pPr>
            <w:r w:rsidRPr="3EF42A65">
              <w:rPr>
                <w:rFonts w:ascii="Calibri" w:eastAsia="Calibri" w:hAnsi="Calibri" w:cs="Calibri"/>
                <w:color w:val="000000" w:themeColor="text1"/>
              </w:rPr>
              <w:t>Members referred to enabling/signpost to support organisations (e.g. via presentation slide, or by speakers/committee members)</w:t>
            </w:r>
          </w:p>
          <w:p w14:paraId="7F556D0F" w14:textId="29627949" w:rsidR="000E78A4" w:rsidRDefault="000E78A4" w:rsidP="000E78A4">
            <w:pPr>
              <w:pStyle w:val="NoSpacing"/>
              <w:numPr>
                <w:ilvl w:val="0"/>
                <w:numId w:val="18"/>
              </w:numPr>
              <w:ind w:left="360"/>
              <w:rPr>
                <w:rFonts w:cstheme="minorHAnsi"/>
              </w:rPr>
            </w:pPr>
            <w:r w:rsidRPr="3EF42A65">
              <w:rPr>
                <w:rFonts w:ascii="Calibri" w:eastAsia="Calibri" w:hAnsi="Calibri" w:cs="Calibri"/>
                <w:color w:val="000000" w:themeColor="text1"/>
              </w:rPr>
              <w:t xml:space="preserve">SUSU reporting tool available </w:t>
            </w:r>
          </w:p>
        </w:tc>
        <w:tc>
          <w:tcPr>
            <w:tcW w:w="159" w:type="pct"/>
            <w:shd w:val="clear" w:color="auto" w:fill="FFFFFF" w:themeFill="background1"/>
          </w:tcPr>
          <w:p w14:paraId="0B45CCBE" w14:textId="41D39DF1" w:rsidR="000E78A4" w:rsidRPr="00C335BD" w:rsidRDefault="000E78A4" w:rsidP="000E78A4">
            <w:pPr>
              <w:rPr>
                <w:b/>
              </w:rPr>
            </w:pPr>
            <w:r w:rsidRPr="3EF42A65">
              <w:rPr>
                <w:rFonts w:ascii="Calibri" w:eastAsia="Calibri" w:hAnsi="Calibri" w:cs="Calibri"/>
                <w:b/>
                <w:bCs/>
                <w:color w:val="000000" w:themeColor="text1"/>
              </w:rPr>
              <w:t>1</w:t>
            </w:r>
          </w:p>
        </w:tc>
        <w:tc>
          <w:tcPr>
            <w:tcW w:w="159" w:type="pct"/>
            <w:shd w:val="clear" w:color="auto" w:fill="FFFFFF" w:themeFill="background1"/>
          </w:tcPr>
          <w:p w14:paraId="0FCC44E8" w14:textId="6E5EF7C5" w:rsidR="000E78A4" w:rsidRPr="00C335BD" w:rsidRDefault="000E78A4" w:rsidP="000E78A4">
            <w:pPr>
              <w:rPr>
                <w:b/>
              </w:rPr>
            </w:pPr>
            <w:r w:rsidRPr="3EF42A65">
              <w:rPr>
                <w:rFonts w:ascii="Calibri" w:eastAsia="Calibri" w:hAnsi="Calibri" w:cs="Calibri"/>
                <w:b/>
                <w:bCs/>
                <w:color w:val="000000" w:themeColor="text1"/>
              </w:rPr>
              <w:t>3</w:t>
            </w:r>
          </w:p>
        </w:tc>
        <w:tc>
          <w:tcPr>
            <w:tcW w:w="159" w:type="pct"/>
            <w:shd w:val="clear" w:color="auto" w:fill="FFFFFF" w:themeFill="background1"/>
          </w:tcPr>
          <w:p w14:paraId="2A7C2E62" w14:textId="4C543CDF" w:rsidR="000E78A4" w:rsidRPr="00C335BD" w:rsidRDefault="000E78A4" w:rsidP="000E78A4">
            <w:pPr>
              <w:rPr>
                <w:b/>
              </w:rPr>
            </w:pPr>
            <w:r w:rsidRPr="3EF42A65">
              <w:rPr>
                <w:rFonts w:ascii="Calibri" w:eastAsia="Calibri" w:hAnsi="Calibri" w:cs="Calibri"/>
                <w:b/>
                <w:bCs/>
                <w:color w:val="000000" w:themeColor="text1"/>
              </w:rPr>
              <w:t>3</w:t>
            </w:r>
          </w:p>
        </w:tc>
        <w:tc>
          <w:tcPr>
            <w:tcW w:w="895" w:type="pct"/>
            <w:shd w:val="clear" w:color="auto" w:fill="FFFFFF" w:themeFill="background1"/>
          </w:tcPr>
          <w:p w14:paraId="56B01E09" w14:textId="77777777" w:rsidR="000E78A4" w:rsidRDefault="000E78A4" w:rsidP="000E78A4">
            <w:pPr>
              <w:pStyle w:val="ListParagraph"/>
              <w:numPr>
                <w:ilvl w:val="0"/>
                <w:numId w:val="21"/>
              </w:numPr>
              <w:rPr>
                <w:rFonts w:ascii="Calibri" w:eastAsia="Calibri" w:hAnsi="Calibri" w:cs="Calibri"/>
                <w:color w:val="000000" w:themeColor="text1"/>
              </w:rPr>
            </w:pPr>
            <w:r w:rsidRPr="3EF42A65">
              <w:rPr>
                <w:rFonts w:ascii="Calibri" w:eastAsia="Calibri" w:hAnsi="Calibri" w:cs="Calibri"/>
                <w:color w:val="000000" w:themeColor="text1"/>
              </w:rPr>
              <w:t>Organisers will, following the event, share relevant information on support/signpost- Facebook/email/newsletter</w:t>
            </w:r>
          </w:p>
          <w:p w14:paraId="3D7D361B" w14:textId="77777777" w:rsidR="000E78A4" w:rsidRDefault="000E78A4" w:rsidP="000E78A4">
            <w:pPr>
              <w:pStyle w:val="ListParagraph"/>
              <w:numPr>
                <w:ilvl w:val="0"/>
                <w:numId w:val="21"/>
              </w:numPr>
              <w:rPr>
                <w:rFonts w:ascii="Calibri" w:eastAsia="Calibri" w:hAnsi="Calibri" w:cs="Calibri"/>
                <w:color w:val="000000" w:themeColor="text1"/>
              </w:rPr>
            </w:pPr>
            <w:r w:rsidRPr="3EF42A65">
              <w:rPr>
                <w:rFonts w:ascii="Calibri" w:eastAsia="Calibri" w:hAnsi="Calibri" w:cs="Calibri"/>
                <w:color w:val="000000" w:themeColor="text1"/>
              </w:rPr>
              <w:t xml:space="preserve">Committee Wide Training </w:t>
            </w:r>
          </w:p>
          <w:p w14:paraId="079186CC" w14:textId="77777777" w:rsidR="000E78A4" w:rsidRDefault="000E78A4" w:rsidP="000E78A4">
            <w:pPr>
              <w:pStyle w:val="ListParagraph"/>
              <w:numPr>
                <w:ilvl w:val="0"/>
                <w:numId w:val="21"/>
              </w:numPr>
              <w:rPr>
                <w:rFonts w:ascii="Calibri" w:eastAsia="Calibri" w:hAnsi="Calibri" w:cs="Calibri"/>
                <w:color w:val="000000" w:themeColor="text1"/>
              </w:rPr>
            </w:pPr>
            <w:r w:rsidRPr="3EF42A65">
              <w:rPr>
                <w:rFonts w:ascii="Calibri" w:eastAsia="Calibri" w:hAnsi="Calibri" w:cs="Calibri"/>
                <w:color w:val="000000" w:themeColor="text1"/>
              </w:rPr>
              <w:t>Seek guidance from activities/SUSU advice centre/</w:t>
            </w:r>
            <w:proofErr w:type="spellStart"/>
            <w:r w:rsidRPr="3EF42A65">
              <w:rPr>
                <w:rFonts w:ascii="Calibri" w:eastAsia="Calibri" w:hAnsi="Calibri" w:cs="Calibri"/>
                <w:color w:val="000000" w:themeColor="text1"/>
              </w:rPr>
              <w:t>UoS</w:t>
            </w:r>
            <w:proofErr w:type="spellEnd"/>
            <w:r w:rsidRPr="3EF42A65">
              <w:rPr>
                <w:rFonts w:ascii="Calibri" w:eastAsia="Calibri" w:hAnsi="Calibri" w:cs="Calibri"/>
                <w:color w:val="000000" w:themeColor="text1"/>
              </w:rPr>
              <w:t xml:space="preserve"> enabling team as required</w:t>
            </w:r>
          </w:p>
          <w:p w14:paraId="790C1E9E" w14:textId="74ED038B" w:rsidR="000E78A4" w:rsidRDefault="000E78A4" w:rsidP="000E78A4">
            <w:pPr>
              <w:pStyle w:val="NoSpacing"/>
              <w:numPr>
                <w:ilvl w:val="0"/>
                <w:numId w:val="19"/>
              </w:numPr>
              <w:ind w:left="360"/>
            </w:pPr>
            <w:r w:rsidRPr="3EF42A65">
              <w:rPr>
                <w:rFonts w:ascii="Calibri" w:eastAsia="Calibri" w:hAnsi="Calibri" w:cs="Calibri"/>
                <w:color w:val="000000" w:themeColor="text1"/>
              </w:rPr>
              <w:t>committee WIDE training</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51"/>
        <w:gridCol w:w="1772"/>
        <w:gridCol w:w="1548"/>
        <w:gridCol w:w="1269"/>
        <w:gridCol w:w="4032"/>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0E78A4">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79"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7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03"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41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13"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0E78A4">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79" w:type="pct"/>
          </w:tcPr>
          <w:p w14:paraId="3C5F048E" w14:textId="58C2B019" w:rsidR="00C642F4" w:rsidRPr="00957A37" w:rsidRDefault="000E78A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Food is of food provision and food safety standard level 2 </w:t>
            </w:r>
          </w:p>
        </w:tc>
        <w:tc>
          <w:tcPr>
            <w:tcW w:w="576" w:type="pct"/>
          </w:tcPr>
          <w:p w14:paraId="3C5F048F" w14:textId="6B880F8E" w:rsidR="00C642F4" w:rsidRPr="00957A37" w:rsidRDefault="000E78A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Ethan Price</w:t>
            </w:r>
            <w:r w:rsidR="00DF5575">
              <w:rPr>
                <w:rFonts w:ascii="Lucida Sans" w:eastAsia="Times New Roman" w:hAnsi="Lucida Sans" w:cs="Arial"/>
                <w:color w:val="000000"/>
                <w:szCs w:val="20"/>
              </w:rPr>
              <w:t xml:space="preserve"> </w:t>
            </w:r>
          </w:p>
        </w:tc>
        <w:tc>
          <w:tcPr>
            <w:tcW w:w="503" w:type="pct"/>
          </w:tcPr>
          <w:p w14:paraId="3C5F0490" w14:textId="75CD1F0D" w:rsidR="00C642F4" w:rsidRPr="00957A37" w:rsidRDefault="000E78A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20/03/26</w:t>
            </w:r>
          </w:p>
        </w:tc>
        <w:tc>
          <w:tcPr>
            <w:tcW w:w="412" w:type="pct"/>
            <w:tcBorders>
              <w:right w:val="single" w:sz="18" w:space="0" w:color="auto"/>
            </w:tcBorders>
          </w:tcPr>
          <w:p w14:paraId="3C5F0491" w14:textId="60E3FDCC" w:rsidR="00C642F4" w:rsidRPr="00957A37" w:rsidRDefault="000E78A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21/03/26</w:t>
            </w:r>
          </w:p>
        </w:tc>
        <w:tc>
          <w:tcPr>
            <w:tcW w:w="1813" w:type="pct"/>
            <w:gridSpan w:val="2"/>
            <w:tcBorders>
              <w:left w:val="single" w:sz="18" w:space="0" w:color="auto"/>
            </w:tcBorders>
          </w:tcPr>
          <w:p w14:paraId="3C5F0492" w14:textId="7E809258" w:rsidR="00C642F4" w:rsidRPr="00957A37" w:rsidRDefault="00DF557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w:t>
            </w:r>
            <w:r w:rsidR="000E78A4">
              <w:rPr>
                <w:rFonts w:ascii="Lucida Sans" w:eastAsia="Times New Roman" w:hAnsi="Lucida Sans" w:cs="Arial"/>
                <w:color w:val="000000"/>
                <w:szCs w:val="20"/>
              </w:rPr>
              <w:t xml:space="preserve">l food is provided by the </w:t>
            </w:r>
            <w:proofErr w:type="spellStart"/>
            <w:r w:rsidR="000E78A4">
              <w:rPr>
                <w:rFonts w:ascii="Lucida Sans" w:eastAsia="Times New Roman" w:hAnsi="Lucida Sans" w:cs="Arial"/>
                <w:color w:val="000000"/>
                <w:szCs w:val="20"/>
              </w:rPr>
              <w:t>UoS</w:t>
            </w:r>
            <w:proofErr w:type="spellEnd"/>
            <w:r w:rsidR="000E78A4">
              <w:rPr>
                <w:rFonts w:ascii="Lucida Sans" w:eastAsia="Times New Roman" w:hAnsi="Lucida Sans" w:cs="Arial"/>
                <w:color w:val="000000"/>
                <w:szCs w:val="20"/>
              </w:rPr>
              <w:t xml:space="preserve"> catering team and is of the appropriate standard.</w:t>
            </w:r>
            <w:r w:rsidR="000C5F10">
              <w:rPr>
                <w:rFonts w:ascii="Lucida Sans" w:eastAsia="Times New Roman" w:hAnsi="Lucida Sans" w:cs="Arial"/>
                <w:color w:val="000000"/>
                <w:szCs w:val="20"/>
              </w:rPr>
              <w:t xml:space="preserve"> Food hygiene certificate in the name of Ada Ulusoy.</w:t>
            </w:r>
          </w:p>
        </w:tc>
      </w:tr>
      <w:tr w:rsidR="000E78A4" w:rsidRPr="00957A37" w14:paraId="3C5F049A" w14:textId="77777777" w:rsidTr="000E78A4">
        <w:trPr>
          <w:trHeight w:val="574"/>
        </w:trPr>
        <w:tc>
          <w:tcPr>
            <w:tcW w:w="218" w:type="pct"/>
          </w:tcPr>
          <w:p w14:paraId="3C5F0494" w14:textId="77777777" w:rsidR="000E78A4" w:rsidRPr="00957A37" w:rsidRDefault="000E78A4" w:rsidP="000E78A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79" w:type="pct"/>
          </w:tcPr>
          <w:p w14:paraId="3C5F0495" w14:textId="3B73C018" w:rsidR="000E78A4" w:rsidRPr="00957A37" w:rsidRDefault="000E78A4" w:rsidP="000E78A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rooms have been booked</w:t>
            </w:r>
          </w:p>
        </w:tc>
        <w:tc>
          <w:tcPr>
            <w:tcW w:w="576" w:type="pct"/>
          </w:tcPr>
          <w:p w14:paraId="3C5F0496" w14:textId="61C0D613" w:rsidR="000E78A4" w:rsidRPr="00957A37" w:rsidRDefault="000E78A4" w:rsidP="000E78A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Ethan Price</w:t>
            </w:r>
          </w:p>
        </w:tc>
        <w:tc>
          <w:tcPr>
            <w:tcW w:w="503" w:type="pct"/>
          </w:tcPr>
          <w:p w14:paraId="3C5F0497" w14:textId="7F0C2324" w:rsidR="000E78A4" w:rsidRPr="00957A37" w:rsidRDefault="000E78A4" w:rsidP="000E78A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20/03/26</w:t>
            </w:r>
          </w:p>
        </w:tc>
        <w:tc>
          <w:tcPr>
            <w:tcW w:w="412" w:type="pct"/>
            <w:tcBorders>
              <w:right w:val="single" w:sz="18" w:space="0" w:color="auto"/>
            </w:tcBorders>
          </w:tcPr>
          <w:p w14:paraId="3C5F0498" w14:textId="0078D871" w:rsidR="000E78A4" w:rsidRPr="00957A37" w:rsidRDefault="000E78A4" w:rsidP="000E78A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21/03/26</w:t>
            </w:r>
          </w:p>
        </w:tc>
        <w:tc>
          <w:tcPr>
            <w:tcW w:w="1813" w:type="pct"/>
            <w:gridSpan w:val="2"/>
            <w:tcBorders>
              <w:left w:val="single" w:sz="18" w:space="0" w:color="auto"/>
            </w:tcBorders>
          </w:tcPr>
          <w:p w14:paraId="3C5F0499" w14:textId="3C6FD122" w:rsidR="000E78A4" w:rsidRPr="00957A37" w:rsidRDefault="000E78A4" w:rsidP="000E78A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five rooms required for the event have been booked.</w:t>
            </w:r>
          </w:p>
        </w:tc>
      </w:tr>
      <w:tr w:rsidR="00C642F4" w:rsidRPr="00957A37" w14:paraId="3C5F04A1" w14:textId="77777777" w:rsidTr="000E78A4">
        <w:trPr>
          <w:trHeight w:val="574"/>
        </w:trPr>
        <w:tc>
          <w:tcPr>
            <w:tcW w:w="218"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79"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6"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12"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13"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0E78A4">
        <w:trPr>
          <w:trHeight w:val="574"/>
        </w:trPr>
        <w:tc>
          <w:tcPr>
            <w:tcW w:w="218"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79"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6"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12"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13"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0E78A4">
        <w:trPr>
          <w:trHeight w:val="574"/>
        </w:trPr>
        <w:tc>
          <w:tcPr>
            <w:tcW w:w="218"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79"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6"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12"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13"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0E78A4">
        <w:trPr>
          <w:trHeight w:val="574"/>
        </w:trPr>
        <w:tc>
          <w:tcPr>
            <w:tcW w:w="218"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79"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6"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12"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13"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0E78A4">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79"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6"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12"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13"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0E78A4">
        <w:trPr>
          <w:cantSplit/>
        </w:trPr>
        <w:tc>
          <w:tcPr>
            <w:tcW w:w="2775" w:type="pct"/>
            <w:gridSpan w:val="4"/>
            <w:tcBorders>
              <w:bottom w:val="nil"/>
            </w:tcBorders>
          </w:tcPr>
          <w:p w14:paraId="3C5F04BF" w14:textId="28B6D53A"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225" w:type="pct"/>
            <w:gridSpan w:val="3"/>
            <w:tcBorders>
              <w:bottom w:val="nil"/>
            </w:tcBorders>
          </w:tcPr>
          <w:p w14:paraId="3C5F04C1" w14:textId="091EDDAD"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0E78A4">
        <w:trPr>
          <w:cantSplit/>
          <w:trHeight w:val="606"/>
        </w:trPr>
        <w:tc>
          <w:tcPr>
            <w:tcW w:w="2272" w:type="pct"/>
            <w:gridSpan w:val="3"/>
            <w:tcBorders>
              <w:top w:val="nil"/>
              <w:right w:val="nil"/>
            </w:tcBorders>
          </w:tcPr>
          <w:p w14:paraId="3C5F04C3" w14:textId="58F16AC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DF5575">
              <w:rPr>
                <w:rFonts w:ascii="Lucida Sans" w:eastAsia="Times New Roman" w:hAnsi="Lucida Sans" w:cs="Arial"/>
                <w:color w:val="000000"/>
                <w:szCs w:val="20"/>
              </w:rPr>
              <w:t xml:space="preserve"> </w:t>
            </w:r>
            <w:r w:rsidR="000E78A4">
              <w:rPr>
                <w:rFonts w:ascii="Lucida Sans" w:eastAsia="Times New Roman" w:hAnsi="Lucida Sans" w:cs="Arial"/>
                <w:color w:val="000000"/>
                <w:szCs w:val="20"/>
              </w:rPr>
              <w:t>Ethan Price</w:t>
            </w:r>
          </w:p>
        </w:tc>
        <w:tc>
          <w:tcPr>
            <w:tcW w:w="503" w:type="pct"/>
            <w:tcBorders>
              <w:top w:val="nil"/>
              <w:left w:val="nil"/>
            </w:tcBorders>
          </w:tcPr>
          <w:p w14:paraId="468B7A81"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p w14:paraId="3C5F04C4" w14:textId="3D18F779" w:rsidR="000E78A4" w:rsidRPr="00957A37" w:rsidRDefault="000E78A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20/03/2026</w:t>
            </w:r>
          </w:p>
        </w:tc>
        <w:tc>
          <w:tcPr>
            <w:tcW w:w="1722" w:type="pct"/>
            <w:gridSpan w:val="2"/>
            <w:tcBorders>
              <w:top w:val="nil"/>
              <w:right w:val="nil"/>
            </w:tcBorders>
          </w:tcPr>
          <w:p w14:paraId="3C5F04C5" w14:textId="2054434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DF5575">
              <w:rPr>
                <w:rFonts w:ascii="Lucida Sans" w:eastAsia="Times New Roman" w:hAnsi="Lucida Sans" w:cs="Arial"/>
                <w:color w:val="000000"/>
                <w:szCs w:val="20"/>
              </w:rPr>
              <w:t xml:space="preserve"> </w:t>
            </w:r>
            <w:r w:rsidR="000E78A4">
              <w:rPr>
                <w:rFonts w:ascii="Lucida Sans" w:eastAsia="Times New Roman" w:hAnsi="Lucida Sans" w:cs="Arial"/>
                <w:color w:val="000000"/>
                <w:szCs w:val="20"/>
              </w:rPr>
              <w:t>Ada Ulusoy</w:t>
            </w:r>
          </w:p>
        </w:tc>
        <w:tc>
          <w:tcPr>
            <w:tcW w:w="503" w:type="pct"/>
            <w:tcBorders>
              <w:top w:val="nil"/>
              <w:left w:val="nil"/>
            </w:tcBorders>
          </w:tcPr>
          <w:p w14:paraId="3C5F04C6" w14:textId="6D44B59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DF5575">
              <w:rPr>
                <w:rFonts w:ascii="Lucida Sans" w:eastAsia="Times New Roman" w:hAnsi="Lucida Sans" w:cs="Arial"/>
                <w:color w:val="000000"/>
                <w:szCs w:val="20"/>
              </w:rPr>
              <w:t xml:space="preserve">: </w:t>
            </w:r>
            <w:r w:rsidR="000E78A4">
              <w:rPr>
                <w:rFonts w:ascii="Lucida Sans" w:eastAsia="Times New Roman" w:hAnsi="Lucida Sans" w:cs="Arial"/>
                <w:color w:val="000000"/>
                <w:szCs w:val="20"/>
              </w:rPr>
              <w:t>20</w:t>
            </w:r>
            <w:r w:rsidR="00DF5575">
              <w:rPr>
                <w:rFonts w:ascii="Lucida Sans" w:eastAsia="Times New Roman" w:hAnsi="Lucida Sans" w:cs="Arial"/>
                <w:color w:val="000000"/>
                <w:szCs w:val="20"/>
              </w:rPr>
              <w:t>/0</w:t>
            </w:r>
            <w:r w:rsidR="000E78A4">
              <w:rPr>
                <w:rFonts w:ascii="Lucida Sans" w:eastAsia="Times New Roman" w:hAnsi="Lucida Sans" w:cs="Arial"/>
                <w:color w:val="000000"/>
                <w:szCs w:val="20"/>
              </w:rPr>
              <w:t>3</w:t>
            </w:r>
            <w:r w:rsidR="00DF5575">
              <w:rPr>
                <w:rFonts w:ascii="Lucida Sans" w:eastAsia="Times New Roman" w:hAnsi="Lucida Sans" w:cs="Arial"/>
                <w:color w:val="000000"/>
                <w:szCs w:val="20"/>
              </w:rPr>
              <w:t>/202</w:t>
            </w:r>
            <w:r w:rsidR="000E78A4">
              <w:rPr>
                <w:rFonts w:ascii="Lucida Sans" w:eastAsia="Times New Roman" w:hAnsi="Lucida Sans" w:cs="Arial"/>
                <w:color w:val="000000"/>
                <w:szCs w:val="20"/>
              </w:rPr>
              <w:t>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A922" w14:textId="77777777" w:rsidR="008F588A" w:rsidRDefault="008F588A" w:rsidP="00AC47B4">
      <w:pPr>
        <w:spacing w:after="0" w:line="240" w:lineRule="auto"/>
      </w:pPr>
      <w:r>
        <w:separator/>
      </w:r>
    </w:p>
  </w:endnote>
  <w:endnote w:type="continuationSeparator" w:id="0">
    <w:p w14:paraId="1B857CEB" w14:textId="77777777" w:rsidR="008F588A" w:rsidRDefault="008F588A"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679C" w14:textId="77777777" w:rsidR="008F588A" w:rsidRDefault="008F588A" w:rsidP="00AC47B4">
      <w:pPr>
        <w:spacing w:after="0" w:line="240" w:lineRule="auto"/>
      </w:pPr>
      <w:r>
        <w:separator/>
      </w:r>
    </w:p>
  </w:footnote>
  <w:footnote w:type="continuationSeparator" w:id="0">
    <w:p w14:paraId="7557697D" w14:textId="77777777" w:rsidR="008F588A" w:rsidRDefault="008F588A"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B727A3"/>
    <w:multiLevelType w:val="hybridMultilevel"/>
    <w:tmpl w:val="AAF2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1A4A6"/>
    <w:multiLevelType w:val="hybridMultilevel"/>
    <w:tmpl w:val="7624D788"/>
    <w:lvl w:ilvl="0" w:tplc="FBEAE87E">
      <w:start w:val="1"/>
      <w:numFmt w:val="bullet"/>
      <w:lvlText w:val=""/>
      <w:lvlJc w:val="left"/>
      <w:pPr>
        <w:ind w:left="720" w:hanging="360"/>
      </w:pPr>
      <w:rPr>
        <w:rFonts w:ascii="Symbol" w:hAnsi="Symbol" w:hint="default"/>
      </w:rPr>
    </w:lvl>
    <w:lvl w:ilvl="1" w:tplc="B3568EAC">
      <w:start w:val="1"/>
      <w:numFmt w:val="bullet"/>
      <w:lvlText w:val="o"/>
      <w:lvlJc w:val="left"/>
      <w:pPr>
        <w:ind w:left="1440" w:hanging="360"/>
      </w:pPr>
      <w:rPr>
        <w:rFonts w:ascii="Courier New" w:hAnsi="Courier New" w:hint="default"/>
      </w:rPr>
    </w:lvl>
    <w:lvl w:ilvl="2" w:tplc="D1BCD0C4">
      <w:start w:val="1"/>
      <w:numFmt w:val="bullet"/>
      <w:lvlText w:val=""/>
      <w:lvlJc w:val="left"/>
      <w:pPr>
        <w:ind w:left="2160" w:hanging="360"/>
      </w:pPr>
      <w:rPr>
        <w:rFonts w:ascii="Wingdings" w:hAnsi="Wingdings" w:hint="default"/>
      </w:rPr>
    </w:lvl>
    <w:lvl w:ilvl="3" w:tplc="7A44EE20">
      <w:start w:val="1"/>
      <w:numFmt w:val="bullet"/>
      <w:lvlText w:val=""/>
      <w:lvlJc w:val="left"/>
      <w:pPr>
        <w:ind w:left="2880" w:hanging="360"/>
      </w:pPr>
      <w:rPr>
        <w:rFonts w:ascii="Symbol" w:hAnsi="Symbol" w:hint="default"/>
      </w:rPr>
    </w:lvl>
    <w:lvl w:ilvl="4" w:tplc="F1A4C616">
      <w:start w:val="1"/>
      <w:numFmt w:val="bullet"/>
      <w:lvlText w:val="o"/>
      <w:lvlJc w:val="left"/>
      <w:pPr>
        <w:ind w:left="3600" w:hanging="360"/>
      </w:pPr>
      <w:rPr>
        <w:rFonts w:ascii="Courier New" w:hAnsi="Courier New" w:hint="default"/>
      </w:rPr>
    </w:lvl>
    <w:lvl w:ilvl="5" w:tplc="C2967C3C">
      <w:start w:val="1"/>
      <w:numFmt w:val="bullet"/>
      <w:lvlText w:val=""/>
      <w:lvlJc w:val="left"/>
      <w:pPr>
        <w:ind w:left="4320" w:hanging="360"/>
      </w:pPr>
      <w:rPr>
        <w:rFonts w:ascii="Wingdings" w:hAnsi="Wingdings" w:hint="default"/>
      </w:rPr>
    </w:lvl>
    <w:lvl w:ilvl="6" w:tplc="659EF37C">
      <w:start w:val="1"/>
      <w:numFmt w:val="bullet"/>
      <w:lvlText w:val=""/>
      <w:lvlJc w:val="left"/>
      <w:pPr>
        <w:ind w:left="5040" w:hanging="360"/>
      </w:pPr>
      <w:rPr>
        <w:rFonts w:ascii="Symbol" w:hAnsi="Symbol" w:hint="default"/>
      </w:rPr>
    </w:lvl>
    <w:lvl w:ilvl="7" w:tplc="8E7A6432">
      <w:start w:val="1"/>
      <w:numFmt w:val="bullet"/>
      <w:lvlText w:val="o"/>
      <w:lvlJc w:val="left"/>
      <w:pPr>
        <w:ind w:left="5760" w:hanging="360"/>
      </w:pPr>
      <w:rPr>
        <w:rFonts w:ascii="Courier New" w:hAnsi="Courier New" w:hint="default"/>
      </w:rPr>
    </w:lvl>
    <w:lvl w:ilvl="8" w:tplc="6E3A116A">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E041A97"/>
    <w:multiLevelType w:val="hybridMultilevel"/>
    <w:tmpl w:val="A8F4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C48D8"/>
    <w:multiLevelType w:val="hybridMultilevel"/>
    <w:tmpl w:val="7276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8"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9"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0"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0D72D7"/>
    <w:multiLevelType w:val="hybridMultilevel"/>
    <w:tmpl w:val="F9BE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3"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4"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7"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46389F"/>
    <w:multiLevelType w:val="hybridMultilevel"/>
    <w:tmpl w:val="BF1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2"/>
  </w:num>
  <w:num w:numId="2" w16cid:durableId="1950314761">
    <w:abstractNumId w:val="19"/>
  </w:num>
  <w:num w:numId="3" w16cid:durableId="1055158776">
    <w:abstractNumId w:val="16"/>
  </w:num>
  <w:num w:numId="4" w16cid:durableId="126709444">
    <w:abstractNumId w:val="10"/>
  </w:num>
  <w:num w:numId="5" w16cid:durableId="1116633794">
    <w:abstractNumId w:val="3"/>
  </w:num>
  <w:num w:numId="6" w16cid:durableId="627008510">
    <w:abstractNumId w:val="18"/>
  </w:num>
  <w:num w:numId="7" w16cid:durableId="684673244">
    <w:abstractNumId w:val="9"/>
  </w:num>
  <w:num w:numId="8" w16cid:durableId="1242332424">
    <w:abstractNumId w:val="8"/>
  </w:num>
  <w:num w:numId="9" w16cid:durableId="1826583252">
    <w:abstractNumId w:val="6"/>
  </w:num>
  <w:num w:numId="10" w16cid:durableId="719019825">
    <w:abstractNumId w:val="14"/>
  </w:num>
  <w:num w:numId="11" w16cid:durableId="484518661">
    <w:abstractNumId w:val="21"/>
  </w:num>
  <w:num w:numId="12" w16cid:durableId="566384092">
    <w:abstractNumId w:val="0"/>
  </w:num>
  <w:num w:numId="13" w16cid:durableId="1585797748">
    <w:abstractNumId w:val="12"/>
  </w:num>
  <w:num w:numId="14" w16cid:durableId="1758404252">
    <w:abstractNumId w:val="15"/>
  </w:num>
  <w:num w:numId="15" w16cid:durableId="138309872">
    <w:abstractNumId w:val="17"/>
  </w:num>
  <w:num w:numId="16" w16cid:durableId="1093933284">
    <w:abstractNumId w:val="13"/>
  </w:num>
  <w:num w:numId="17" w16cid:durableId="1614558867">
    <w:abstractNumId w:val="11"/>
  </w:num>
  <w:num w:numId="18" w16cid:durableId="1811245879">
    <w:abstractNumId w:val="5"/>
  </w:num>
  <w:num w:numId="19" w16cid:durableId="487404591">
    <w:abstractNumId w:val="4"/>
  </w:num>
  <w:num w:numId="20" w16cid:durableId="228930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0073095">
    <w:abstractNumId w:val="2"/>
  </w:num>
  <w:num w:numId="22" w16cid:durableId="1082802199">
    <w:abstractNumId w:val="1"/>
  </w:num>
  <w:num w:numId="23" w16cid:durableId="106811183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10"/>
    <w:rsid w:val="000C5FCD"/>
    <w:rsid w:val="000C6C98"/>
    <w:rsid w:val="000C734A"/>
    <w:rsid w:val="000D096C"/>
    <w:rsid w:val="000D265D"/>
    <w:rsid w:val="000D28AD"/>
    <w:rsid w:val="000D3F3F"/>
    <w:rsid w:val="000D6DA0"/>
    <w:rsid w:val="000E211C"/>
    <w:rsid w:val="000E4942"/>
    <w:rsid w:val="000E60A3"/>
    <w:rsid w:val="000E76F2"/>
    <w:rsid w:val="000E78A4"/>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3200"/>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6693F"/>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16A2"/>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8F588A"/>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87AF8"/>
    <w:rsid w:val="009936B2"/>
    <w:rsid w:val="00994216"/>
    <w:rsid w:val="00994D96"/>
    <w:rsid w:val="00996FD5"/>
    <w:rsid w:val="00997B0D"/>
    <w:rsid w:val="009A03D5"/>
    <w:rsid w:val="009A095A"/>
    <w:rsid w:val="009A2665"/>
    <w:rsid w:val="009A4D41"/>
    <w:rsid w:val="009A57C6"/>
    <w:rsid w:val="009A5CEB"/>
    <w:rsid w:val="009A6BA2"/>
    <w:rsid w:val="009B252C"/>
    <w:rsid w:val="009B312F"/>
    <w:rsid w:val="009B4008"/>
    <w:rsid w:val="009B66AD"/>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37EFA"/>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6A19"/>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5575"/>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groups/admin/howto/protectionaccid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3022</Words>
  <Characters>15719</Characters>
  <Application>Microsoft Office Word</Application>
  <DocSecurity>0</DocSecurity>
  <Lines>1209</Lines>
  <Paragraphs>551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Ethan Price (ejp2g24)</cp:lastModifiedBy>
  <cp:revision>5</cp:revision>
  <cp:lastPrinted>2016-04-18T12:10:00Z</cp:lastPrinted>
  <dcterms:created xsi:type="dcterms:W3CDTF">2026-03-20T11:26:00Z</dcterms:created>
  <dcterms:modified xsi:type="dcterms:W3CDTF">2026-03-20T12:11:00Z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