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157955" w:rsidR="00A156C3" w:rsidRPr="00A156C3" w:rsidRDefault="00914B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First Aid Training Event Session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48B5FA6" w:rsidR="00A156C3" w:rsidRPr="00A156C3" w:rsidRDefault="00914B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5C7F9A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/02/23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6DA3D2B" w:rsidR="00A156C3" w:rsidRPr="00A156C3" w:rsidRDefault="00914B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</w:t>
            </w:r>
            <w:r>
              <w:rPr>
                <w:rFonts w:ascii="Verdana" w:eastAsia="Verdana" w:hAnsi="Verdana" w:cs="Verdana"/>
                <w:b/>
                <w:color w:val="000000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AD0B130" w:rsidR="00A156C3" w:rsidRPr="00A156C3" w:rsidRDefault="00914B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Olaa Abdelmonim</w:t>
            </w:r>
          </w:p>
        </w:tc>
      </w:tr>
      <w:tr w:rsidR="00914B57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914B57" w:rsidRPr="00B817BD" w:rsidRDefault="00914B57" w:rsidP="00914B5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FC7DC28" w:rsidR="00914B57" w:rsidRPr="00914B57" w:rsidRDefault="00845C16" w:rsidP="00914B5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Ibrahim Ishaq Yahya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914B57" w:rsidRPr="00EB5320" w:rsidRDefault="00914B57" w:rsidP="00914B5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32F7104" w:rsidR="00914B57" w:rsidRPr="00914B57" w:rsidRDefault="00845C16" w:rsidP="00914B5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Ibrahim Ishaq Yahya</w:t>
            </w: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8"/>
        <w:gridCol w:w="2723"/>
        <w:gridCol w:w="1939"/>
        <w:gridCol w:w="480"/>
        <w:gridCol w:w="480"/>
        <w:gridCol w:w="499"/>
        <w:gridCol w:w="3019"/>
        <w:gridCol w:w="480"/>
        <w:gridCol w:w="480"/>
        <w:gridCol w:w="499"/>
        <w:gridCol w:w="2982"/>
      </w:tblGrid>
      <w:tr w:rsidR="00C642F4" w14:paraId="3C5F040F" w14:textId="77777777" w:rsidTr="00155E92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55E92">
        <w:trPr>
          <w:tblHeader/>
        </w:trPr>
        <w:tc>
          <w:tcPr>
            <w:tcW w:w="210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55E92">
        <w:trPr>
          <w:tblHeader/>
        </w:trPr>
        <w:tc>
          <w:tcPr>
            <w:tcW w:w="58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55E92">
        <w:trPr>
          <w:cantSplit/>
          <w:trHeight w:val="1510"/>
          <w:tblHeader/>
        </w:trPr>
        <w:tc>
          <w:tcPr>
            <w:tcW w:w="58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914B57" w14:paraId="3C5F0437" w14:textId="77777777" w:rsidTr="00155E92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2C" w14:textId="6955EB97" w:rsidR="00914B57" w:rsidRPr="0056381E" w:rsidRDefault="00914B57" w:rsidP="00914B57">
            <w:pPr>
              <w:rPr>
                <w:sz w:val="20"/>
                <w:szCs w:val="20"/>
              </w:rPr>
            </w:pPr>
            <w:r w:rsidRPr="0056381E">
              <w:rPr>
                <w:sz w:val="20"/>
                <w:szCs w:val="20"/>
              </w:rPr>
              <w:t xml:space="preserve">Slips, trips and falls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03BF319" w:rsidR="00914B57" w:rsidRPr="0056381E" w:rsidRDefault="00914B57" w:rsidP="00914B57">
            <w:pPr>
              <w:rPr>
                <w:sz w:val="20"/>
                <w:szCs w:val="20"/>
              </w:rPr>
            </w:pPr>
            <w:r w:rsidRPr="0056381E">
              <w:rPr>
                <w:sz w:val="20"/>
                <w:szCs w:val="20"/>
              </w:rPr>
              <w:t>Physical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7AD568A8" w:rsidR="00914B57" w:rsidRPr="0056381E" w:rsidRDefault="00914B57" w:rsidP="00914B57">
            <w:pPr>
              <w:rPr>
                <w:sz w:val="20"/>
                <w:szCs w:val="20"/>
              </w:rPr>
            </w:pPr>
            <w:r w:rsidRPr="0056381E">
              <w:rPr>
                <w:sz w:val="20"/>
                <w:szCs w:val="20"/>
              </w:rPr>
              <w:t>Members attending, those in the vicinity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157055D9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Lucida Sans" w:eastAsia="Lucida Sans" w:hAnsi="Lucida Sans" w:cs="Lucida Sans"/>
                <w:b/>
                <w:sz w:val="20"/>
                <w:szCs w:val="20"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5E626D89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5CF48CD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Lucida Sans" w:eastAsia="Lucida Sans" w:hAnsi="Lucida Sans" w:cs="Lucida Sans"/>
                <w:b/>
                <w:sz w:val="20"/>
                <w:szCs w:val="20"/>
              </w:rPr>
              <w:t>8</w:t>
            </w:r>
          </w:p>
        </w:tc>
        <w:tc>
          <w:tcPr>
            <w:tcW w:w="981" w:type="pct"/>
            <w:shd w:val="clear" w:color="auto" w:fill="FFFFFF" w:themeFill="background1"/>
          </w:tcPr>
          <w:p w14:paraId="7C289811" w14:textId="77777777" w:rsidR="00914B57" w:rsidRPr="0056381E" w:rsidRDefault="00914B57" w:rsidP="005A7472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boxes and equipment to be stored away from main meeting area, e.g., stored under tables </w:t>
            </w:r>
          </w:p>
          <w:p w14:paraId="3C5EC755" w14:textId="77777777" w:rsidR="00914B57" w:rsidRPr="0056381E" w:rsidRDefault="00914B57" w:rsidP="005A7472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>Any cables to be organised as best as possible</w:t>
            </w:r>
          </w:p>
          <w:p w14:paraId="19940FEE" w14:textId="53A43EC3" w:rsidR="00914B57" w:rsidRPr="0056381E" w:rsidRDefault="00914B57" w:rsidP="005A7472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>Cable ties/to be used if necessary</w:t>
            </w:r>
          </w:p>
          <w:p w14:paraId="6033DF79" w14:textId="77777777" w:rsidR="00914B57" w:rsidRPr="0056381E" w:rsidRDefault="00914B57" w:rsidP="005A7472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Floors to be kept clear and dry, and visual checks to be maintained throughout the meeting by organizers. </w:t>
            </w:r>
          </w:p>
          <w:p w14:paraId="4431081A" w14:textId="565EC166" w:rsidR="00914B57" w:rsidRPr="0056381E" w:rsidRDefault="00914B57" w:rsidP="005A7472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Extra vigilance will be paid to make sure that any spilled food products/objects are cleaned up quickly and efficiently in the area.</w:t>
            </w:r>
          </w:p>
          <w:p w14:paraId="281097A0" w14:textId="77777777" w:rsidR="00914B57" w:rsidRPr="0056381E" w:rsidRDefault="00914B57" w:rsidP="005A7472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33" w14:textId="4B63570B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058B6C2E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365ACE18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69" w:type="pct"/>
            <w:shd w:val="clear" w:color="auto" w:fill="FFFFFF" w:themeFill="background1"/>
          </w:tcPr>
          <w:p w14:paraId="4932F597" w14:textId="77777777" w:rsidR="00914B57" w:rsidRPr="0056381E" w:rsidRDefault="00914B57" w:rsidP="005A7472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>Seek medical attention from SUSU Reception/venue staff if in need</w:t>
            </w:r>
          </w:p>
          <w:p w14:paraId="43046BF6" w14:textId="77777777" w:rsidR="00914B57" w:rsidRPr="0056381E" w:rsidRDefault="00914B57" w:rsidP="005A7472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>Contact facilities team via SUSU reception/venue staff</w:t>
            </w:r>
          </w:p>
          <w:p w14:paraId="1BAE887F" w14:textId="77777777" w:rsidR="00914B57" w:rsidRPr="0056381E" w:rsidRDefault="00914B57" w:rsidP="005A7472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 xml:space="preserve">Contact emergency services if needed </w:t>
            </w:r>
          </w:p>
          <w:p w14:paraId="3C5F0436" w14:textId="11B73898" w:rsidR="00914B57" w:rsidRPr="0056381E" w:rsidRDefault="00914B57" w:rsidP="00914B57">
            <w:pPr>
              <w:rPr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56381E">
                <w:rPr>
                  <w:rStyle w:val="Hyperlink"/>
                  <w:rFonts w:ascii="Calibri" w:eastAsia="Calibri" w:hAnsi="Calibri" w:cs="Calibri"/>
                  <w:color w:val="0000FF"/>
                  <w:sz w:val="20"/>
                  <w:szCs w:val="20"/>
                </w:rPr>
                <w:t>SUSU incident report policy</w:t>
              </w:r>
            </w:hyperlink>
          </w:p>
        </w:tc>
      </w:tr>
      <w:tr w:rsidR="00914B57" w14:paraId="3C5F0443" w14:textId="77777777" w:rsidTr="00155E92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38" w14:textId="4C449E3D" w:rsidR="00914B57" w:rsidRDefault="00914B57" w:rsidP="00914B57">
            <w:r>
              <w:t xml:space="preserve">Socials/Meetings- Medical emergency </w:t>
            </w:r>
          </w:p>
        </w:tc>
        <w:tc>
          <w:tcPr>
            <w:tcW w:w="885" w:type="pct"/>
            <w:shd w:val="clear" w:color="auto" w:fill="FFFFFF" w:themeFill="background1"/>
          </w:tcPr>
          <w:p w14:paraId="7F775F33" w14:textId="77777777" w:rsidR="00914B57" w:rsidRDefault="00914B57" w:rsidP="00914B57">
            <w:pPr>
              <w:rPr>
                <w:color w:val="000000"/>
              </w:rPr>
            </w:pPr>
            <w:r>
              <w:rPr>
                <w:color w:val="000000"/>
              </w:rPr>
              <w:t xml:space="preserve">Members may sustain injury /become unwell </w:t>
            </w:r>
          </w:p>
          <w:p w14:paraId="218C2DF3" w14:textId="77777777" w:rsidR="00914B57" w:rsidRDefault="00914B57" w:rsidP="00914B57">
            <w:pPr>
              <w:rPr>
                <w:color w:val="000000"/>
              </w:rPr>
            </w:pPr>
          </w:p>
          <w:p w14:paraId="19CB9806" w14:textId="77777777" w:rsidR="00914B57" w:rsidRDefault="00914B57" w:rsidP="00914B57">
            <w:pPr>
              <w:rPr>
                <w:color w:val="000000"/>
              </w:rPr>
            </w:pPr>
            <w:r>
              <w:rPr>
                <w:color w:val="000000"/>
              </w:rPr>
              <w:t xml:space="preserve">pre-existing medical conditions </w:t>
            </w:r>
          </w:p>
          <w:p w14:paraId="3293E25E" w14:textId="77777777" w:rsidR="00914B57" w:rsidRDefault="00914B57" w:rsidP="00914B57">
            <w:pPr>
              <w:rPr>
                <w:color w:val="000000"/>
              </w:rPr>
            </w:pPr>
            <w:r>
              <w:rPr>
                <w:color w:val="000000"/>
              </w:rPr>
              <w:t xml:space="preserve">Sickness </w:t>
            </w:r>
          </w:p>
          <w:p w14:paraId="6E5FEEDC" w14:textId="77777777" w:rsidR="00914B57" w:rsidRDefault="00914B57" w:rsidP="00914B57">
            <w:pPr>
              <w:rPr>
                <w:color w:val="000000"/>
              </w:rPr>
            </w:pPr>
            <w:r>
              <w:rPr>
                <w:color w:val="000000"/>
              </w:rPr>
              <w:t>Distress</w:t>
            </w:r>
          </w:p>
          <w:p w14:paraId="3C5F0439" w14:textId="77777777" w:rsidR="00914B57" w:rsidRDefault="00914B57" w:rsidP="00914B57"/>
        </w:tc>
        <w:tc>
          <w:tcPr>
            <w:tcW w:w="630" w:type="pct"/>
            <w:shd w:val="clear" w:color="auto" w:fill="FFFFFF" w:themeFill="background1"/>
          </w:tcPr>
          <w:p w14:paraId="3C5F043A" w14:textId="6BE3CE32" w:rsidR="00914B57" w:rsidRDefault="00914B57" w:rsidP="00914B57">
            <w:r>
              <w:t>Members attending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5BCD7119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7378AC36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773958A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81" w:type="pct"/>
            <w:shd w:val="clear" w:color="auto" w:fill="FFFFFF" w:themeFill="background1"/>
          </w:tcPr>
          <w:p w14:paraId="283CCE23" w14:textId="77777777" w:rsidR="00914B57" w:rsidRDefault="00914B57" w:rsidP="005A7472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t>Advise participants; to bring their personal medication</w:t>
            </w:r>
          </w:p>
          <w:p w14:paraId="3FBCEA0F" w14:textId="756D8FC4" w:rsidR="00914B57" w:rsidRDefault="00EA3660" w:rsidP="005A7472">
            <w:pPr>
              <w:numPr>
                <w:ilvl w:val="0"/>
                <w:numId w:val="3"/>
              </w:numPr>
              <w:ind w:left="360" w:hanging="360"/>
            </w:pPr>
            <w:r>
              <w:t>Session facilitators</w:t>
            </w:r>
            <w:r w:rsidR="00914B57">
              <w:t xml:space="preserve"> or </w:t>
            </w:r>
            <w:r>
              <w:t>committee</w:t>
            </w:r>
            <w:r w:rsidR="00914B57">
              <w:t xml:space="preserve"> to carry out first aid if necessary and </w:t>
            </w:r>
            <w:r w:rsidR="00914B57">
              <w:rPr>
                <w:u w:val="single"/>
              </w:rPr>
              <w:t>only if</w:t>
            </w:r>
            <w:r w:rsidR="00914B57">
              <w:t xml:space="preserve"> qualified and confident to do so</w:t>
            </w:r>
          </w:p>
          <w:p w14:paraId="3C5F043E" w14:textId="27251E9A" w:rsidR="00914B57" w:rsidRPr="00EA3660" w:rsidRDefault="00914B57" w:rsidP="005A7472">
            <w:pPr>
              <w:numPr>
                <w:ilvl w:val="0"/>
                <w:numId w:val="3"/>
              </w:numPr>
              <w:ind w:left="360" w:hanging="360"/>
            </w:pPr>
            <w:r>
              <w:t>Contact emergency services as required 111/999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30640835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089BB87E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59016814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69" w:type="pct"/>
            <w:shd w:val="clear" w:color="auto" w:fill="FFFFFF" w:themeFill="background1"/>
          </w:tcPr>
          <w:p w14:paraId="2602AAD9" w14:textId="77777777" w:rsidR="00914B57" w:rsidRDefault="00914B57" w:rsidP="00914B57">
            <w:pPr>
              <w:rPr>
                <w:rFonts w:ascii="Calibri" w:eastAsia="Calibri" w:hAnsi="Calibri" w:cs="Calibri"/>
              </w:rPr>
            </w:pPr>
          </w:p>
          <w:p w14:paraId="4F6109AB" w14:textId="77777777" w:rsidR="00914B57" w:rsidRDefault="00914B57" w:rsidP="00914B57">
            <w:pPr>
              <w:rPr>
                <w:color w:val="000000"/>
              </w:rPr>
            </w:pPr>
          </w:p>
          <w:p w14:paraId="3C5F0442" w14:textId="58BCBFDC" w:rsidR="00914B57" w:rsidRDefault="00914B57" w:rsidP="00914B57">
            <w:r>
              <w:rPr>
                <w:color w:val="000000"/>
              </w:rPr>
              <w:t xml:space="preserve">Follow </w:t>
            </w:r>
            <w:hyperlink r:id="rId12" w:history="1">
              <w:r>
                <w:rPr>
                  <w:rStyle w:val="Hyperlink"/>
                  <w:color w:val="0000FF"/>
                </w:rPr>
                <w:t>SUSU incident report policy</w:t>
              </w:r>
            </w:hyperlink>
          </w:p>
        </w:tc>
      </w:tr>
      <w:tr w:rsidR="0056381E" w14:paraId="3C5F044F" w14:textId="77777777" w:rsidTr="00155E92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44" w14:textId="55CA6BDE" w:rsidR="0056381E" w:rsidRDefault="0056381E" w:rsidP="0056381E">
            <w:r>
              <w:rPr>
                <w:rFonts w:ascii="Calibri" w:eastAsia="Calibri" w:hAnsi="Calibri" w:cs="Calibri"/>
              </w:rPr>
              <w:t>Insufficient Fire Safety awareness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5199037B" w14:textId="77777777" w:rsidR="0056381E" w:rsidRDefault="0056381E" w:rsidP="005638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3C5F0445" w14:textId="76276BBC" w:rsidR="0056381E" w:rsidRDefault="0056381E" w:rsidP="0056381E"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4A08AB78" w:rsidR="0056381E" w:rsidRDefault="0056381E" w:rsidP="0056381E">
            <w:r>
              <w:rPr>
                <w:rFonts w:ascii="Calibri" w:eastAsia="Calibri" w:hAnsi="Calibri" w:cs="Calibri"/>
              </w:rPr>
              <w:t>Those in the vicinity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4613E756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7BE779C4" w:rsidR="0056381E" w:rsidRPr="00957A37" w:rsidRDefault="00B92A5B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A3D585C" w:rsidR="0056381E" w:rsidRPr="00957A37" w:rsidRDefault="00B92A5B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1" w:type="pct"/>
            <w:shd w:val="clear" w:color="auto" w:fill="FFFFFF" w:themeFill="background1"/>
          </w:tcPr>
          <w:p w14:paraId="3972B603" w14:textId="77777777" w:rsidR="0056381E" w:rsidRDefault="0056381E" w:rsidP="005A7472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3C5F044A" w14:textId="00BD6CE2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7E06BAC4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6337F8E6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75547322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69" w:type="pct"/>
            <w:shd w:val="clear" w:color="auto" w:fill="FFFFFF" w:themeFill="background1"/>
          </w:tcPr>
          <w:p w14:paraId="43D1C88D" w14:textId="77777777" w:rsidR="0056381E" w:rsidRDefault="0056381E" w:rsidP="005A7472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6207A3F6" w14:textId="77777777" w:rsidR="0056381E" w:rsidRDefault="0056381E" w:rsidP="0056381E">
            <w:pPr>
              <w:rPr>
                <w:rFonts w:ascii="Calibri" w:eastAsia="Calibri" w:hAnsi="Calibri" w:cs="Calibri"/>
              </w:rPr>
            </w:pPr>
          </w:p>
          <w:p w14:paraId="5A29ECEE" w14:textId="77777777" w:rsidR="0056381E" w:rsidRDefault="0056381E" w:rsidP="005A7472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15735B21" w14:textId="77777777" w:rsidR="0056381E" w:rsidRDefault="0056381E" w:rsidP="005A7472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057BAD5A" w14:textId="77777777" w:rsidR="0056381E" w:rsidRDefault="0056381E" w:rsidP="005A7472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3C5F044E" w14:textId="74B5F72F" w:rsidR="0056381E" w:rsidRDefault="0056381E" w:rsidP="0056381E"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CE1AAA" w14:paraId="3C5F045B" w14:textId="77777777" w:rsidTr="00155E92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0" w14:textId="64CA7427" w:rsidR="00CE1AAA" w:rsidRDefault="000F744B">
            <w:r>
              <w:t xml:space="preserve"> </w:t>
            </w:r>
            <w:r w:rsidR="005F00E0">
              <w:t>Reckless Self Manouvering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EFC1A04" w:rsidR="00CE1AAA" w:rsidRDefault="005F00E0">
            <w:r>
              <w:t>Self inflicted injury like back sprain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7FD7D5DB" w:rsidR="00CE1AAA" w:rsidRDefault="005F00E0">
            <w:r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1D34AA45" w:rsidR="00CE1AAA" w:rsidRPr="00957A37" w:rsidRDefault="00C80D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0874E340" w:rsidR="00CE1AAA" w:rsidRPr="00957A37" w:rsidRDefault="00C80D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1AF0CDE7" w:rsidR="00CE1AAA" w:rsidRPr="00957A37" w:rsidRDefault="00F521E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1" w:type="pct"/>
            <w:shd w:val="clear" w:color="auto" w:fill="FFFFFF" w:themeFill="background1"/>
          </w:tcPr>
          <w:p w14:paraId="3C5F0456" w14:textId="3F7C58B8" w:rsidR="00CE1AAA" w:rsidRPr="00B71235" w:rsidRDefault="00B71235" w:rsidP="00B71235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Instructors to strictly supervise people and advise when they notice improper posture or positioning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206458B2" w:rsidR="00CE1AAA" w:rsidRPr="00957A37" w:rsidRDefault="00B712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44AB73F0" w:rsidR="00CE1AAA" w:rsidRPr="00957A37" w:rsidRDefault="00B712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E738F33" w:rsidR="00CE1AAA" w:rsidRPr="00957A37" w:rsidRDefault="00B92A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9" w:type="pct"/>
            <w:shd w:val="clear" w:color="auto" w:fill="FFFFFF" w:themeFill="background1"/>
          </w:tcPr>
          <w:p w14:paraId="69AA7633" w14:textId="77777777" w:rsidR="00155E92" w:rsidRDefault="00155E92" w:rsidP="005A7472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C5F045A" w14:textId="77777777" w:rsidR="00CE1AAA" w:rsidRDefault="00CE1AAA"/>
        </w:tc>
      </w:tr>
      <w:tr w:rsidR="00CE1AAA" w14:paraId="3C5F0467" w14:textId="77777777" w:rsidTr="00155E92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6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1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155E92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6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1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155E92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6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1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64CAFC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E2291">
              <w:rPr>
                <w:rFonts w:ascii="Lucida Sans" w:eastAsia="Times New Roman" w:hAnsi="Lucida Sans" w:cs="Arial"/>
                <w:color w:val="000000"/>
                <w:szCs w:val="20"/>
              </w:rPr>
              <w:t>Ibrahim Ishaq Yahya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77513C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E2291">
              <w:rPr>
                <w:rFonts w:ascii="Lucida Sans" w:eastAsia="Times New Roman" w:hAnsi="Lucida Sans" w:cs="Arial"/>
                <w:color w:val="000000"/>
                <w:szCs w:val="20"/>
              </w:rPr>
              <w:t>17/02/2023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32B2E5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C7F9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E2291">
              <w:rPr>
                <w:rFonts w:ascii="Lucida Sans" w:eastAsia="Times New Roman" w:hAnsi="Lucida Sans" w:cs="Arial"/>
                <w:color w:val="000000"/>
                <w:szCs w:val="20"/>
              </w:rPr>
              <w:t>Olaa Abdelmonim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38512B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A54F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5C7F9A">
              <w:rPr>
                <w:rFonts w:ascii="Lucida Sans" w:eastAsia="Times New Roman" w:hAnsi="Lucida Sans" w:cs="Arial"/>
                <w:color w:val="000000"/>
                <w:szCs w:val="20"/>
              </w:rPr>
              <w:t>17/02/2023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EE77" w14:textId="77777777" w:rsidR="00D1488C" w:rsidRDefault="00D1488C" w:rsidP="00AC47B4">
      <w:pPr>
        <w:spacing w:after="0" w:line="240" w:lineRule="auto"/>
      </w:pPr>
      <w:r>
        <w:separator/>
      </w:r>
    </w:p>
  </w:endnote>
  <w:endnote w:type="continuationSeparator" w:id="0">
    <w:p w14:paraId="7414B925" w14:textId="77777777" w:rsidR="00D1488C" w:rsidRDefault="00D1488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5165" w14:textId="77777777" w:rsidR="00D1488C" w:rsidRDefault="00D1488C" w:rsidP="00AC47B4">
      <w:pPr>
        <w:spacing w:after="0" w:line="240" w:lineRule="auto"/>
      </w:pPr>
      <w:r>
        <w:separator/>
      </w:r>
    </w:p>
  </w:footnote>
  <w:footnote w:type="continuationSeparator" w:id="0">
    <w:p w14:paraId="15E5E42F" w14:textId="77777777" w:rsidR="00D1488C" w:rsidRDefault="00D1488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4A717E"/>
    <w:multiLevelType w:val="multilevel"/>
    <w:tmpl w:val="694047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05176361">
    <w:abstractNumId w:val="8"/>
  </w:num>
  <w:num w:numId="2" w16cid:durableId="1066609299">
    <w:abstractNumId w:val="7"/>
  </w:num>
  <w:num w:numId="3" w16cid:durableId="2058426696">
    <w:abstractNumId w:val="3"/>
  </w:num>
  <w:num w:numId="4" w16cid:durableId="1590388696">
    <w:abstractNumId w:val="5"/>
  </w:num>
  <w:num w:numId="5" w16cid:durableId="1974141489">
    <w:abstractNumId w:val="0"/>
  </w:num>
  <w:num w:numId="6" w16cid:durableId="1486126900">
    <w:abstractNumId w:val="9"/>
  </w:num>
  <w:num w:numId="7" w16cid:durableId="1762146497">
    <w:abstractNumId w:val="2"/>
  </w:num>
  <w:num w:numId="8" w16cid:durableId="923611742">
    <w:abstractNumId w:val="1"/>
  </w:num>
  <w:num w:numId="9" w16cid:durableId="1073820756">
    <w:abstractNumId w:val="6"/>
  </w:num>
  <w:num w:numId="10" w16cid:durableId="5012398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44B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5E9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5088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54B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381E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472"/>
    <w:rsid w:val="005A7977"/>
    <w:rsid w:val="005B30AB"/>
    <w:rsid w:val="005C214B"/>
    <w:rsid w:val="005C545E"/>
    <w:rsid w:val="005C7F9A"/>
    <w:rsid w:val="005D0ACF"/>
    <w:rsid w:val="005D0AED"/>
    <w:rsid w:val="005D2194"/>
    <w:rsid w:val="005D772F"/>
    <w:rsid w:val="005D7866"/>
    <w:rsid w:val="005E0DEF"/>
    <w:rsid w:val="005E205D"/>
    <w:rsid w:val="005E442E"/>
    <w:rsid w:val="005F00E0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17DB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5C16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4B57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235"/>
    <w:rsid w:val="00B817BD"/>
    <w:rsid w:val="00B82D46"/>
    <w:rsid w:val="00B91535"/>
    <w:rsid w:val="00B92A5B"/>
    <w:rsid w:val="00B97B27"/>
    <w:rsid w:val="00BA20A6"/>
    <w:rsid w:val="00BA54F5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0D55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88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3660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5CFB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21E9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2291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diagramData" Target="diagrams/data1.xml" /><Relationship Id="rId18" Type="http://schemas.openxmlformats.org/officeDocument/2006/relationships/header" Target="header1.xml" /><Relationship Id="rId3" Type="http://schemas.openxmlformats.org/officeDocument/2006/relationships/customXml" Target="../customXml/item3.xml" /><Relationship Id="rId21" Type="http://schemas.openxmlformats.org/officeDocument/2006/relationships/theme" Target="theme/theme1.xml" /><Relationship Id="rId7" Type="http://schemas.openxmlformats.org/officeDocument/2006/relationships/settings" Target="settings.xml" /><Relationship Id="rId12" Type="http://schemas.openxmlformats.org/officeDocument/2006/relationships/hyperlink" Target="https://www.susu.org/groups/admin/howto/protectionaccident" TargetMode="External" /><Relationship Id="rId17" Type="http://schemas.microsoft.com/office/2007/relationships/diagramDrawing" Target="diagrams/drawing1.xml" /><Relationship Id="rId2" Type="http://schemas.openxmlformats.org/officeDocument/2006/relationships/customXml" Target="../customXml/item2.xml" /><Relationship Id="rId16" Type="http://schemas.openxmlformats.org/officeDocument/2006/relationships/diagramColors" Target="diagrams/colors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www.susu.org/groups/admin/howto/protectionaccident" TargetMode="External" /><Relationship Id="rId5" Type="http://schemas.openxmlformats.org/officeDocument/2006/relationships/numbering" Target="numbering.xml" /><Relationship Id="rId15" Type="http://schemas.openxmlformats.org/officeDocument/2006/relationships/diagramQuickStyle" Target="diagrams/quickStyle1.xml" /><Relationship Id="rId10" Type="http://schemas.openxmlformats.org/officeDocument/2006/relationships/endnotes" Target="endnotes.xml" /><Relationship Id="rId19" Type="http://schemas.openxmlformats.org/officeDocument/2006/relationships/footer" Target="footer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diagramLayout" Target="diagrams/layout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Asiyah Ibraheem</cp:lastModifiedBy>
  <cp:revision>2</cp:revision>
  <cp:lastPrinted>2016-04-18T12:10:00Z</cp:lastPrinted>
  <dcterms:created xsi:type="dcterms:W3CDTF">2023-02-17T20:23:00Z</dcterms:created>
  <dcterms:modified xsi:type="dcterms:W3CDTF">2023-02-17T20:23:00Z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